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9C3" w:rsidRDefault="007439C3" w:rsidP="000613D9">
      <w:pPr>
        <w:pStyle w:val="APA"/>
      </w:pPr>
    </w:p>
    <w:p w:rsidR="000613D9" w:rsidRDefault="000613D9" w:rsidP="000613D9">
      <w:pPr>
        <w:pStyle w:val="APA"/>
      </w:pPr>
    </w:p>
    <w:p w:rsidR="000613D9" w:rsidRDefault="000613D9" w:rsidP="000613D9">
      <w:pPr>
        <w:pStyle w:val="APA"/>
      </w:pPr>
    </w:p>
    <w:p w:rsidR="000613D9" w:rsidRDefault="000613D9" w:rsidP="000613D9">
      <w:pPr>
        <w:pStyle w:val="APA"/>
      </w:pPr>
    </w:p>
    <w:p w:rsidR="000613D9" w:rsidRDefault="000613D9" w:rsidP="000613D9">
      <w:pPr>
        <w:pStyle w:val="APA"/>
      </w:pPr>
    </w:p>
    <w:p w:rsidR="000613D9" w:rsidRDefault="000613D9" w:rsidP="000613D9">
      <w:pPr>
        <w:pStyle w:val="APA"/>
      </w:pPr>
    </w:p>
    <w:p w:rsidR="003879B5" w:rsidRDefault="003879B5" w:rsidP="003879B5">
      <w:pPr>
        <w:spacing w:line="480" w:lineRule="auto"/>
        <w:jc w:val="center"/>
        <w:rPr>
          <w:rFonts w:ascii="Times New Roman" w:hAnsi="Times New Roman"/>
          <w:sz w:val="23"/>
        </w:rPr>
      </w:pPr>
    </w:p>
    <w:p w:rsidR="003879B5" w:rsidRDefault="003879B5" w:rsidP="003879B5">
      <w:pPr>
        <w:spacing w:line="480" w:lineRule="auto"/>
        <w:jc w:val="center"/>
        <w:rPr>
          <w:rFonts w:ascii="Times New Roman" w:hAnsi="Times New Roman"/>
          <w:sz w:val="23"/>
        </w:rPr>
      </w:pPr>
    </w:p>
    <w:p w:rsidR="003879B5" w:rsidRPr="00324E1E" w:rsidRDefault="003879B5" w:rsidP="003879B5">
      <w:pPr>
        <w:spacing w:line="480" w:lineRule="auto"/>
        <w:jc w:val="center"/>
        <w:rPr>
          <w:rFonts w:ascii="Times New Roman" w:hAnsi="Times New Roman"/>
          <w:sz w:val="23"/>
        </w:rPr>
      </w:pPr>
      <w:r w:rsidRPr="00324E1E">
        <w:rPr>
          <w:rFonts w:ascii="Times New Roman" w:hAnsi="Times New Roman"/>
          <w:sz w:val="23"/>
        </w:rPr>
        <w:t>Is There a Role for Tranexamic Acid for Trauma Patients in the Pre-Hospital Setting?</w:t>
      </w:r>
    </w:p>
    <w:p w:rsidR="000613D9" w:rsidRDefault="000613D9" w:rsidP="003879B5">
      <w:pPr>
        <w:pStyle w:val="APAHeadingCenter"/>
      </w:pPr>
      <w:bookmarkStart w:id="0" w:name="bmTitlePageName"/>
      <w:r>
        <w:t>Andrea N. Quick</w:t>
      </w:r>
      <w:bookmarkEnd w:id="0"/>
    </w:p>
    <w:p w:rsidR="000613D9" w:rsidRDefault="000613D9" w:rsidP="000613D9">
      <w:pPr>
        <w:pStyle w:val="APAHeadingCenter"/>
      </w:pPr>
      <w:bookmarkStart w:id="1" w:name="bmTitlePageInst"/>
      <w:r>
        <w:t xml:space="preserve">Wright State University </w:t>
      </w:r>
      <w:bookmarkEnd w:id="1"/>
    </w:p>
    <w:p w:rsidR="000613D9" w:rsidRDefault="000613D9" w:rsidP="000613D9">
      <w:pPr>
        <w:pStyle w:val="APAHeadingCenter"/>
      </w:pPr>
      <w:bookmarkStart w:id="2" w:name="bmTitleAdd1"/>
      <w:bookmarkEnd w:id="2"/>
    </w:p>
    <w:p w:rsidR="000613D9" w:rsidRDefault="000613D9" w:rsidP="000613D9">
      <w:pPr>
        <w:pStyle w:val="APAHeadingCenter"/>
      </w:pPr>
      <w:bookmarkStart w:id="3" w:name="bmTitleAdd2"/>
      <w:bookmarkEnd w:id="3"/>
    </w:p>
    <w:p w:rsidR="000613D9" w:rsidRDefault="000613D9" w:rsidP="000613D9">
      <w:pPr>
        <w:pStyle w:val="APAHeadingCenter"/>
      </w:pPr>
      <w:bookmarkStart w:id="4" w:name="bmTitleAdd3"/>
      <w:bookmarkEnd w:id="4"/>
    </w:p>
    <w:p w:rsidR="000613D9" w:rsidRDefault="000613D9" w:rsidP="000613D9">
      <w:pPr>
        <w:pStyle w:val="APAHeadingCenter"/>
      </w:pPr>
      <w:bookmarkStart w:id="5" w:name="bmTitleAdd4"/>
      <w:bookmarkEnd w:id="5"/>
    </w:p>
    <w:p w:rsidR="000613D9" w:rsidRDefault="000613D9" w:rsidP="000613D9">
      <w:pPr>
        <w:pStyle w:val="APA"/>
        <w:sectPr w:rsidR="000613D9" w:rsidSect="000613D9">
          <w:headerReference w:type="default" r:id="rId8"/>
          <w:headerReference w:type="first" r:id="rId9"/>
          <w:pgSz w:w="12240" w:h="15840" w:code="1"/>
          <w:pgMar w:top="1440" w:right="1440" w:bottom="1440" w:left="1440" w:header="720" w:footer="720" w:gutter="0"/>
          <w:cols w:space="720"/>
          <w:titlePg/>
          <w:docGrid w:linePitch="360"/>
        </w:sectPr>
      </w:pPr>
    </w:p>
    <w:p w:rsidR="000613D9" w:rsidRDefault="000613D9" w:rsidP="000613D9">
      <w:pPr>
        <w:pStyle w:val="APA"/>
        <w:sectPr w:rsidR="000613D9" w:rsidSect="000613D9">
          <w:headerReference w:type="first" r:id="rId10"/>
          <w:type w:val="continuous"/>
          <w:pgSz w:w="12240" w:h="15840" w:code="1"/>
          <w:pgMar w:top="1440" w:right="1440" w:bottom="1440" w:left="1440" w:header="720" w:footer="720" w:gutter="0"/>
          <w:cols w:space="720"/>
          <w:titlePg/>
          <w:docGrid w:linePitch="360"/>
        </w:sectPr>
      </w:pPr>
    </w:p>
    <w:p w:rsidR="00947DDA" w:rsidRPr="00324E1E" w:rsidRDefault="00947DDA" w:rsidP="00947DDA">
      <w:pPr>
        <w:spacing w:line="480" w:lineRule="auto"/>
        <w:jc w:val="center"/>
        <w:rPr>
          <w:rFonts w:ascii="Times New Roman" w:hAnsi="Times New Roman"/>
          <w:sz w:val="23"/>
        </w:rPr>
      </w:pPr>
      <w:r w:rsidRPr="00324E1E">
        <w:rPr>
          <w:rFonts w:ascii="Times New Roman" w:hAnsi="Times New Roman"/>
          <w:sz w:val="23"/>
        </w:rPr>
        <w:lastRenderedPageBreak/>
        <w:t>Is There a Role for Tranexamic Acid for Trauma Patients in the Pre-Hospital Setting?</w:t>
      </w:r>
    </w:p>
    <w:p w:rsidR="00947DDA" w:rsidRPr="00C30FC8" w:rsidRDefault="00947DDA" w:rsidP="00947DDA">
      <w:pPr>
        <w:spacing w:line="480" w:lineRule="auto"/>
        <w:jc w:val="both"/>
        <w:rPr>
          <w:rFonts w:ascii="Times New Roman" w:hAnsi="Times New Roman"/>
          <w:b/>
          <w:sz w:val="23"/>
        </w:rPr>
      </w:pPr>
      <w:r w:rsidRPr="00C30FC8">
        <w:rPr>
          <w:rFonts w:ascii="Times New Roman" w:hAnsi="Times New Roman"/>
          <w:b/>
          <w:sz w:val="23"/>
        </w:rPr>
        <w:t>Introduction</w:t>
      </w:r>
    </w:p>
    <w:p w:rsidR="00947DDA" w:rsidRPr="00C30FC8" w:rsidRDefault="00947DDA" w:rsidP="00947DDA">
      <w:pPr>
        <w:spacing w:line="480" w:lineRule="auto"/>
        <w:jc w:val="both"/>
        <w:rPr>
          <w:rFonts w:ascii="Times New Roman" w:hAnsi="Times New Roman"/>
          <w:sz w:val="23"/>
        </w:rPr>
      </w:pPr>
      <w:r w:rsidRPr="00C30FC8">
        <w:rPr>
          <w:rFonts w:ascii="Times New Roman" w:hAnsi="Times New Roman"/>
          <w:sz w:val="23"/>
        </w:rPr>
        <w:tab/>
        <w:t xml:space="preserve">Hemorrhage </w:t>
      </w:r>
      <w:r w:rsidR="00BE5713">
        <w:rPr>
          <w:rFonts w:ascii="Times New Roman" w:hAnsi="Times New Roman"/>
          <w:sz w:val="23"/>
        </w:rPr>
        <w:t>is one of the highest</w:t>
      </w:r>
      <w:r w:rsidRPr="00C30FC8">
        <w:rPr>
          <w:rFonts w:ascii="Times New Roman" w:hAnsi="Times New Roman"/>
          <w:sz w:val="23"/>
        </w:rPr>
        <w:t xml:space="preserve"> leading cause</w:t>
      </w:r>
      <w:r w:rsidR="00BE5713">
        <w:rPr>
          <w:rFonts w:ascii="Times New Roman" w:hAnsi="Times New Roman"/>
          <w:sz w:val="23"/>
        </w:rPr>
        <w:t>s</w:t>
      </w:r>
      <w:r w:rsidRPr="00C30FC8">
        <w:rPr>
          <w:rFonts w:ascii="Times New Roman" w:hAnsi="Times New Roman"/>
          <w:sz w:val="23"/>
        </w:rPr>
        <w:t xml:space="preserve"> of death in patients who have suffered a significant trauma and is responsible for nearly 40% of all trauma related deaths. These deaths are associated with acute blood loss, which can be difficult to control as a result of acute traumatic coagulopathy</w:t>
      </w:r>
      <w:r w:rsidR="00B3644A">
        <w:rPr>
          <w:rFonts w:ascii="Times New Roman" w:hAnsi="Times New Roman"/>
          <w:sz w:val="23"/>
        </w:rPr>
        <w:t xml:space="preserve"> (ACOT)</w:t>
      </w:r>
      <w:r w:rsidRPr="00C30FC8">
        <w:rPr>
          <w:rFonts w:ascii="Times New Roman" w:hAnsi="Times New Roman"/>
          <w:sz w:val="23"/>
        </w:rPr>
        <w:t xml:space="preserve"> in </w:t>
      </w:r>
      <w:r w:rsidR="003879B5">
        <w:rPr>
          <w:rFonts w:ascii="Times New Roman" w:hAnsi="Times New Roman"/>
          <w:sz w:val="23"/>
        </w:rPr>
        <w:t>the acute care setting (Hess et</w:t>
      </w:r>
      <w:r w:rsidRPr="00C30FC8">
        <w:rPr>
          <w:rFonts w:ascii="Times New Roman" w:hAnsi="Times New Roman"/>
          <w:sz w:val="23"/>
        </w:rPr>
        <w:t xml:space="preserve"> al., 2008). Coagulopathy, or impaired clotting, occurs</w:t>
      </w:r>
      <w:r w:rsidR="00152199">
        <w:rPr>
          <w:rFonts w:ascii="Times New Roman" w:hAnsi="Times New Roman"/>
          <w:sz w:val="23"/>
        </w:rPr>
        <w:t xml:space="preserve"> in almost all </w:t>
      </w:r>
      <w:proofErr w:type="gramStart"/>
      <w:r w:rsidR="00152199">
        <w:rPr>
          <w:rFonts w:ascii="Times New Roman" w:hAnsi="Times New Roman"/>
          <w:sz w:val="23"/>
        </w:rPr>
        <w:t>patients</w:t>
      </w:r>
      <w:proofErr w:type="gramEnd"/>
      <w:r w:rsidR="00BE5713">
        <w:rPr>
          <w:rFonts w:ascii="Times New Roman" w:hAnsi="Times New Roman"/>
          <w:sz w:val="23"/>
        </w:rPr>
        <w:t xml:space="preserve"> status-</w:t>
      </w:r>
      <w:r w:rsidRPr="00C30FC8">
        <w:rPr>
          <w:rFonts w:ascii="Times New Roman" w:hAnsi="Times New Roman"/>
          <w:sz w:val="23"/>
        </w:rPr>
        <w:t>post</w:t>
      </w:r>
      <w:r w:rsidR="00BE5713">
        <w:rPr>
          <w:rFonts w:ascii="Times New Roman" w:hAnsi="Times New Roman"/>
          <w:sz w:val="23"/>
        </w:rPr>
        <w:t xml:space="preserve"> </w:t>
      </w:r>
      <w:r w:rsidRPr="00C30FC8">
        <w:rPr>
          <w:rFonts w:ascii="Times New Roman" w:hAnsi="Times New Roman"/>
          <w:sz w:val="23"/>
        </w:rPr>
        <w:t>traumatic injury and initially the causes we</w:t>
      </w:r>
      <w:r w:rsidR="00BE5713">
        <w:rPr>
          <w:rFonts w:ascii="Times New Roman" w:hAnsi="Times New Roman"/>
          <w:sz w:val="23"/>
        </w:rPr>
        <w:t xml:space="preserve">re focused on those which may have been a result of </w:t>
      </w:r>
      <w:r w:rsidR="00152199">
        <w:rPr>
          <w:rFonts w:ascii="Times New Roman" w:hAnsi="Times New Roman"/>
          <w:sz w:val="23"/>
        </w:rPr>
        <w:t>resuscitation efforts including</w:t>
      </w:r>
      <w:r w:rsidRPr="00C30FC8">
        <w:rPr>
          <w:rFonts w:ascii="Times New Roman" w:hAnsi="Times New Roman"/>
          <w:sz w:val="23"/>
        </w:rPr>
        <w:t xml:space="preserve"> acidosis, hypothermia, and hemodilution. However, recent research and data has shown </w:t>
      </w:r>
      <w:r w:rsidR="00B3644A">
        <w:rPr>
          <w:rFonts w:ascii="Times New Roman" w:hAnsi="Times New Roman"/>
          <w:sz w:val="23"/>
        </w:rPr>
        <w:t>ACOT</w:t>
      </w:r>
      <w:r w:rsidRPr="00C30FC8">
        <w:rPr>
          <w:rFonts w:ascii="Times New Roman" w:hAnsi="Times New Roman"/>
          <w:sz w:val="23"/>
        </w:rPr>
        <w:t xml:space="preserve"> </w:t>
      </w:r>
      <w:r w:rsidR="00B3644A">
        <w:rPr>
          <w:rFonts w:ascii="Times New Roman" w:hAnsi="Times New Roman"/>
          <w:sz w:val="23"/>
        </w:rPr>
        <w:t xml:space="preserve">is </w:t>
      </w:r>
      <w:r w:rsidRPr="00C30FC8">
        <w:rPr>
          <w:rFonts w:ascii="Times New Roman" w:hAnsi="Times New Roman"/>
          <w:sz w:val="23"/>
        </w:rPr>
        <w:t>associated with</w:t>
      </w:r>
      <w:r w:rsidR="00B3644A">
        <w:rPr>
          <w:rFonts w:ascii="Times New Roman" w:hAnsi="Times New Roman"/>
          <w:sz w:val="23"/>
        </w:rPr>
        <w:t xml:space="preserve"> primary hyperfibrinolysis and </w:t>
      </w:r>
      <w:r w:rsidRPr="00C30FC8">
        <w:rPr>
          <w:rFonts w:ascii="Times New Roman" w:hAnsi="Times New Roman"/>
          <w:sz w:val="23"/>
        </w:rPr>
        <w:t xml:space="preserve">occurs early after injury mediated by the activation of </w:t>
      </w:r>
      <w:r>
        <w:rPr>
          <w:rFonts w:ascii="Times New Roman" w:hAnsi="Times New Roman"/>
          <w:sz w:val="23"/>
        </w:rPr>
        <w:t>widespread protein C activation</w:t>
      </w:r>
      <w:r w:rsidR="00BE5713">
        <w:rPr>
          <w:rFonts w:ascii="Times New Roman" w:hAnsi="Times New Roman"/>
          <w:sz w:val="23"/>
        </w:rPr>
        <w:t xml:space="preserve">. ACOT is </w:t>
      </w:r>
      <w:r w:rsidRPr="00C30FC8">
        <w:rPr>
          <w:rFonts w:ascii="Times New Roman" w:hAnsi="Times New Roman"/>
          <w:sz w:val="23"/>
        </w:rPr>
        <w:t>associated with an extremely high mortality rate of nearly 70%. A diagnosis of ACOT occurs in up to 40% of individuals at the time of the trauma when the injury is significant and is assoc</w:t>
      </w:r>
      <w:r w:rsidR="00BE5713">
        <w:rPr>
          <w:rFonts w:ascii="Times New Roman" w:hAnsi="Times New Roman"/>
          <w:sz w:val="23"/>
        </w:rPr>
        <w:t xml:space="preserve">iated with a decrease in life sustaining tissue </w:t>
      </w:r>
      <w:r w:rsidRPr="00C30FC8">
        <w:rPr>
          <w:rFonts w:ascii="Times New Roman" w:hAnsi="Times New Roman"/>
          <w:sz w:val="23"/>
        </w:rPr>
        <w:t xml:space="preserve">perfusion, independent </w:t>
      </w:r>
      <w:r w:rsidR="00BE5713">
        <w:rPr>
          <w:rFonts w:ascii="Times New Roman" w:hAnsi="Times New Roman"/>
          <w:sz w:val="23"/>
        </w:rPr>
        <w:t xml:space="preserve">of causes as a result of initial resuscitation </w:t>
      </w:r>
      <w:sdt>
        <w:sdtPr>
          <w:rPr>
            <w:rFonts w:ascii="Times New Roman" w:hAnsi="Times New Roman"/>
            <w:sz w:val="23"/>
          </w:rPr>
          <w:id w:val="-976766194"/>
          <w:citation/>
        </w:sdtPr>
        <w:sdtContent>
          <w:r w:rsidR="00D747D5">
            <w:rPr>
              <w:rFonts w:ascii="Times New Roman" w:hAnsi="Times New Roman"/>
              <w:sz w:val="23"/>
            </w:rPr>
            <w:fldChar w:fldCharType="begin"/>
          </w:r>
          <w:r w:rsidR="00D747D5">
            <w:rPr>
              <w:rFonts w:ascii="Times New Roman" w:hAnsi="Times New Roman"/>
              <w:sz w:val="23"/>
            </w:rPr>
            <w:instrText xml:space="preserve"> CITATION Nap13 \l 1033 </w:instrText>
          </w:r>
          <w:r w:rsidR="00D747D5">
            <w:rPr>
              <w:rFonts w:ascii="Times New Roman" w:hAnsi="Times New Roman"/>
              <w:sz w:val="23"/>
            </w:rPr>
            <w:fldChar w:fldCharType="separate"/>
          </w:r>
          <w:r w:rsidR="00D747D5" w:rsidRPr="00324E1E">
            <w:rPr>
              <w:rFonts w:ascii="Times New Roman" w:hAnsi="Times New Roman"/>
              <w:noProof/>
              <w:sz w:val="23"/>
            </w:rPr>
            <w:t>(Napolitano, Cohen, Schreiber, Moore, &amp; Cotton, 2013)</w:t>
          </w:r>
          <w:r w:rsidR="00D747D5">
            <w:rPr>
              <w:rFonts w:ascii="Times New Roman" w:hAnsi="Times New Roman"/>
              <w:sz w:val="23"/>
            </w:rPr>
            <w:fldChar w:fldCharType="end"/>
          </w:r>
        </w:sdtContent>
      </w:sdt>
      <w:r w:rsidR="00D747D5">
        <w:rPr>
          <w:rFonts w:ascii="Times New Roman" w:hAnsi="Times New Roman"/>
          <w:sz w:val="23"/>
        </w:rPr>
        <w:t xml:space="preserve">. </w:t>
      </w:r>
      <w:r w:rsidRPr="00C30FC8">
        <w:rPr>
          <w:rFonts w:ascii="Times New Roman" w:hAnsi="Times New Roman"/>
          <w:sz w:val="23"/>
        </w:rPr>
        <w:t xml:space="preserve">As an </w:t>
      </w:r>
      <w:r w:rsidR="00B3644A" w:rsidRPr="00C30FC8">
        <w:rPr>
          <w:rFonts w:ascii="Times New Roman" w:hAnsi="Times New Roman"/>
          <w:sz w:val="23"/>
        </w:rPr>
        <w:t xml:space="preserve">acute care </w:t>
      </w:r>
      <w:r w:rsidR="00B3644A" w:rsidRPr="00C30FC8">
        <w:rPr>
          <w:rFonts w:ascii="Times New Roman" w:hAnsi="Times New Roman" w:cs="Arial"/>
          <w:bCs/>
          <w:sz w:val="23"/>
          <w:szCs w:val="26"/>
        </w:rPr>
        <w:t>gerontological</w:t>
      </w:r>
      <w:r w:rsidR="00B3644A" w:rsidRPr="00C30FC8">
        <w:rPr>
          <w:rFonts w:ascii="Times New Roman" w:hAnsi="Times New Roman"/>
          <w:sz w:val="23"/>
        </w:rPr>
        <w:t xml:space="preserve"> nurse practitioner</w:t>
      </w:r>
      <w:r w:rsidR="00BE5713">
        <w:rPr>
          <w:rFonts w:ascii="Times New Roman" w:hAnsi="Times New Roman"/>
          <w:sz w:val="23"/>
        </w:rPr>
        <w:t xml:space="preserve"> (AG-ACNP)</w:t>
      </w:r>
      <w:r w:rsidR="00B3644A" w:rsidRPr="00C30FC8">
        <w:rPr>
          <w:rFonts w:ascii="Times New Roman" w:hAnsi="Times New Roman"/>
          <w:sz w:val="23"/>
        </w:rPr>
        <w:t xml:space="preserve"> </w:t>
      </w:r>
      <w:r w:rsidR="00B3644A">
        <w:rPr>
          <w:rFonts w:ascii="Times New Roman" w:hAnsi="Times New Roman"/>
          <w:sz w:val="23"/>
        </w:rPr>
        <w:t>managing</w:t>
      </w:r>
      <w:r w:rsidR="00BE5713">
        <w:rPr>
          <w:rFonts w:ascii="Times New Roman" w:hAnsi="Times New Roman"/>
          <w:sz w:val="23"/>
        </w:rPr>
        <w:t xml:space="preserve"> the trauma population in the acute care setting</w:t>
      </w:r>
      <w:r w:rsidR="00152199">
        <w:rPr>
          <w:rFonts w:ascii="Times New Roman" w:hAnsi="Times New Roman"/>
          <w:sz w:val="23"/>
        </w:rPr>
        <w:t xml:space="preserve"> one of  the main focuses are on</w:t>
      </w:r>
      <w:r w:rsidR="00BE5713">
        <w:rPr>
          <w:rFonts w:ascii="Times New Roman" w:hAnsi="Times New Roman"/>
          <w:sz w:val="23"/>
        </w:rPr>
        <w:t xml:space="preserve"> </w:t>
      </w:r>
      <w:r w:rsidR="00152199">
        <w:rPr>
          <w:rFonts w:ascii="Times New Roman" w:hAnsi="Times New Roman"/>
          <w:sz w:val="23"/>
        </w:rPr>
        <w:t xml:space="preserve">patients who are at risk of </w:t>
      </w:r>
      <w:r w:rsidR="00BE5713">
        <w:rPr>
          <w:rFonts w:ascii="Times New Roman" w:hAnsi="Times New Roman"/>
          <w:sz w:val="23"/>
        </w:rPr>
        <w:t>ACOT</w:t>
      </w:r>
      <w:r w:rsidRPr="00C30FC8">
        <w:rPr>
          <w:rFonts w:ascii="Times New Roman" w:hAnsi="Times New Roman"/>
          <w:sz w:val="23"/>
        </w:rPr>
        <w:t xml:space="preserve"> </w:t>
      </w:r>
      <w:r w:rsidR="00152199">
        <w:rPr>
          <w:rFonts w:ascii="Times New Roman" w:hAnsi="Times New Roman"/>
          <w:sz w:val="23"/>
        </w:rPr>
        <w:t>and have a higher chance of suffering from</w:t>
      </w:r>
      <w:r w:rsidRPr="00C30FC8">
        <w:rPr>
          <w:rFonts w:ascii="Times New Roman" w:hAnsi="Times New Roman"/>
          <w:sz w:val="23"/>
        </w:rPr>
        <w:t xml:space="preserve"> early death</w:t>
      </w:r>
      <w:r w:rsidR="00152199">
        <w:rPr>
          <w:rFonts w:ascii="Times New Roman" w:hAnsi="Times New Roman"/>
          <w:sz w:val="23"/>
        </w:rPr>
        <w:t xml:space="preserve"> as a result</w:t>
      </w:r>
      <w:r w:rsidRPr="00C30FC8">
        <w:rPr>
          <w:rFonts w:ascii="Times New Roman" w:hAnsi="Times New Roman"/>
          <w:sz w:val="23"/>
        </w:rPr>
        <w:t>. Patients with ACOT have a significantly higher need for</w:t>
      </w:r>
      <w:r w:rsidR="00BE5713">
        <w:rPr>
          <w:rFonts w:ascii="Times New Roman" w:hAnsi="Times New Roman"/>
          <w:sz w:val="23"/>
        </w:rPr>
        <w:t xml:space="preserve"> blood product</w:t>
      </w:r>
      <w:r w:rsidRPr="00C30FC8">
        <w:rPr>
          <w:rFonts w:ascii="Times New Roman" w:hAnsi="Times New Roman"/>
          <w:sz w:val="23"/>
        </w:rPr>
        <w:t xml:space="preserve"> transfusion within the first 24 hours of injury and typically require up to ten units of packed </w:t>
      </w:r>
      <w:r w:rsidR="00BE5713">
        <w:rPr>
          <w:rFonts w:ascii="Times New Roman" w:hAnsi="Times New Roman"/>
          <w:sz w:val="23"/>
        </w:rPr>
        <w:t>red blood cells in comparison to</w:t>
      </w:r>
      <w:r w:rsidRPr="00C30FC8">
        <w:rPr>
          <w:rFonts w:ascii="Times New Roman" w:hAnsi="Times New Roman"/>
          <w:sz w:val="23"/>
        </w:rPr>
        <w:t xml:space="preserve"> the two units received by trauma patients with normal</w:t>
      </w:r>
      <w:r w:rsidR="00B3644A">
        <w:rPr>
          <w:rFonts w:ascii="Times New Roman" w:hAnsi="Times New Roman"/>
          <w:sz w:val="23"/>
        </w:rPr>
        <w:t xml:space="preserve"> clotting factors</w:t>
      </w:r>
      <w:r w:rsidR="00152199">
        <w:rPr>
          <w:rFonts w:ascii="Times New Roman" w:hAnsi="Times New Roman"/>
          <w:sz w:val="23"/>
        </w:rPr>
        <w:t>.</w:t>
      </w:r>
      <w:r w:rsidR="00BE5713">
        <w:rPr>
          <w:rFonts w:ascii="Times New Roman" w:hAnsi="Times New Roman"/>
          <w:sz w:val="23"/>
        </w:rPr>
        <w:t xml:space="preserve"> ACOT has been associated with</w:t>
      </w:r>
      <w:r w:rsidRPr="00C30FC8">
        <w:rPr>
          <w:rFonts w:ascii="Times New Roman" w:hAnsi="Times New Roman"/>
          <w:sz w:val="23"/>
        </w:rPr>
        <w:t xml:space="preserve"> longer</w:t>
      </w:r>
      <w:r w:rsidR="00BE5713">
        <w:rPr>
          <w:rFonts w:ascii="Times New Roman" w:hAnsi="Times New Roman"/>
          <w:sz w:val="23"/>
        </w:rPr>
        <w:t xml:space="preserve"> intensive care unit length of stay</w:t>
      </w:r>
      <w:r w:rsidRPr="00C30FC8">
        <w:rPr>
          <w:rFonts w:ascii="Times New Roman" w:hAnsi="Times New Roman"/>
          <w:sz w:val="23"/>
        </w:rPr>
        <w:t xml:space="preserve"> and </w:t>
      </w:r>
      <w:r w:rsidR="00F71863">
        <w:rPr>
          <w:rFonts w:ascii="Times New Roman" w:hAnsi="Times New Roman"/>
          <w:sz w:val="23"/>
        </w:rPr>
        <w:t>higher rates of</w:t>
      </w:r>
      <w:r w:rsidRPr="00C30FC8">
        <w:rPr>
          <w:rFonts w:ascii="Times New Roman" w:hAnsi="Times New Roman"/>
          <w:sz w:val="23"/>
        </w:rPr>
        <w:t xml:space="preserve"> multi organ failure (</w:t>
      </w:r>
      <w:r w:rsidR="00B331A6">
        <w:rPr>
          <w:rFonts w:ascii="Times New Roman" w:hAnsi="Times New Roman"/>
          <w:sz w:val="23"/>
        </w:rPr>
        <w:t xml:space="preserve">Brohi, Singh, Heron, &amp; Coats, 2003). </w:t>
      </w:r>
      <w:r w:rsidRPr="00C30FC8">
        <w:rPr>
          <w:rFonts w:ascii="Times New Roman" w:hAnsi="Times New Roman"/>
          <w:sz w:val="23"/>
        </w:rPr>
        <w:t xml:space="preserve"> </w:t>
      </w:r>
    </w:p>
    <w:p w:rsidR="00947DDA" w:rsidRPr="00C30FC8" w:rsidRDefault="00947DDA" w:rsidP="00947DDA">
      <w:pPr>
        <w:spacing w:line="480" w:lineRule="auto"/>
        <w:jc w:val="both"/>
        <w:rPr>
          <w:rFonts w:ascii="Times New Roman" w:hAnsi="Times New Roman"/>
          <w:sz w:val="23"/>
        </w:rPr>
      </w:pPr>
      <w:r w:rsidRPr="00C30FC8">
        <w:rPr>
          <w:rFonts w:ascii="Times New Roman" w:hAnsi="Times New Roman"/>
          <w:sz w:val="23"/>
        </w:rPr>
        <w:tab/>
        <w:t>Given the likelihood of the presence of hyperfibrinolysis</w:t>
      </w:r>
      <w:r w:rsidR="00BE5713">
        <w:rPr>
          <w:rFonts w:ascii="Times New Roman" w:hAnsi="Times New Roman"/>
          <w:sz w:val="23"/>
        </w:rPr>
        <w:t>, ACOT,</w:t>
      </w:r>
      <w:r w:rsidRPr="00C30FC8">
        <w:rPr>
          <w:rFonts w:ascii="Times New Roman" w:hAnsi="Times New Roman"/>
          <w:sz w:val="23"/>
        </w:rPr>
        <w:t xml:space="preserve"> and the significant mortality in which it creates in the </w:t>
      </w:r>
      <w:r w:rsidR="00BE5713">
        <w:rPr>
          <w:rFonts w:ascii="Times New Roman" w:hAnsi="Times New Roman"/>
          <w:sz w:val="23"/>
        </w:rPr>
        <w:t>severely injured trauma patient</w:t>
      </w:r>
      <w:r w:rsidRPr="00C30FC8">
        <w:rPr>
          <w:rFonts w:ascii="Times New Roman" w:hAnsi="Times New Roman"/>
          <w:sz w:val="23"/>
        </w:rPr>
        <w:t xml:space="preserve"> the recent use of antifibrinolytic agents in the treatment of ACOT in addition to the standard administration of blood products is being implemented in many trauma centers across the United States</w:t>
      </w:r>
      <w:r w:rsidR="00BE5713">
        <w:rPr>
          <w:rFonts w:ascii="Times New Roman" w:hAnsi="Times New Roman"/>
          <w:sz w:val="23"/>
        </w:rPr>
        <w:t xml:space="preserve"> (US)</w:t>
      </w:r>
      <w:r w:rsidRPr="00C30FC8">
        <w:rPr>
          <w:rFonts w:ascii="Times New Roman" w:hAnsi="Times New Roman"/>
          <w:sz w:val="23"/>
        </w:rPr>
        <w:t xml:space="preserve">. The most commonly used </w:t>
      </w:r>
      <w:r w:rsidRPr="00C30FC8">
        <w:rPr>
          <w:rFonts w:ascii="Times New Roman" w:hAnsi="Times New Roman"/>
          <w:sz w:val="23"/>
        </w:rPr>
        <w:lastRenderedPageBreak/>
        <w:t>antifibrinolytic agent is the drug tranexamic acid (TX</w:t>
      </w:r>
      <w:r w:rsidR="00E97184">
        <w:rPr>
          <w:rFonts w:ascii="Times New Roman" w:hAnsi="Times New Roman"/>
          <w:sz w:val="23"/>
        </w:rPr>
        <w:t>A). TXA is an inexpensive agent</w:t>
      </w:r>
      <w:r w:rsidRPr="00C30FC8">
        <w:rPr>
          <w:rFonts w:ascii="Times New Roman" w:hAnsi="Times New Roman"/>
          <w:sz w:val="23"/>
        </w:rPr>
        <w:t xml:space="preserve"> which acts as a binder to plasminogen and blocks the action</w:t>
      </w:r>
      <w:r w:rsidR="00BE5713">
        <w:rPr>
          <w:rFonts w:ascii="Times New Roman" w:hAnsi="Times New Roman"/>
          <w:sz w:val="23"/>
        </w:rPr>
        <w:t xml:space="preserve"> between plasminogen and fibrin and prevents</w:t>
      </w:r>
      <w:r w:rsidRPr="00C30FC8">
        <w:rPr>
          <w:rFonts w:ascii="Times New Roman" w:hAnsi="Times New Roman"/>
          <w:sz w:val="23"/>
        </w:rPr>
        <w:t xml:space="preserve"> the breakdown of the fibrin clot. This particular drug has been available for nearly 20 years</w:t>
      </w:r>
      <w:r w:rsidR="00F71863">
        <w:rPr>
          <w:rFonts w:ascii="Times New Roman" w:hAnsi="Times New Roman"/>
          <w:sz w:val="23"/>
        </w:rPr>
        <w:t xml:space="preserve"> and was originally utilized </w:t>
      </w:r>
      <w:r w:rsidR="00152199">
        <w:rPr>
          <w:rFonts w:ascii="Times New Roman" w:hAnsi="Times New Roman"/>
          <w:sz w:val="23"/>
        </w:rPr>
        <w:t>to control</w:t>
      </w:r>
      <w:r w:rsidR="00F71863">
        <w:rPr>
          <w:rFonts w:ascii="Times New Roman" w:hAnsi="Times New Roman"/>
          <w:sz w:val="23"/>
        </w:rPr>
        <w:t xml:space="preserve"> surgical and uterine bleeding</w:t>
      </w:r>
      <w:r w:rsidR="00BE5713">
        <w:rPr>
          <w:rFonts w:ascii="Times New Roman" w:hAnsi="Times New Roman"/>
          <w:sz w:val="23"/>
        </w:rPr>
        <w:t>. R</w:t>
      </w:r>
      <w:r w:rsidRPr="00C30FC8">
        <w:rPr>
          <w:rFonts w:ascii="Times New Roman" w:hAnsi="Times New Roman"/>
          <w:sz w:val="23"/>
        </w:rPr>
        <w:t>ecently</w:t>
      </w:r>
      <w:r w:rsidR="00BE5713">
        <w:rPr>
          <w:rFonts w:ascii="Times New Roman" w:hAnsi="Times New Roman"/>
          <w:sz w:val="23"/>
        </w:rPr>
        <w:t xml:space="preserve"> TXA has</w:t>
      </w:r>
      <w:r w:rsidRPr="00C30FC8">
        <w:rPr>
          <w:rFonts w:ascii="Times New Roman" w:hAnsi="Times New Roman"/>
          <w:sz w:val="23"/>
        </w:rPr>
        <w:t xml:space="preserve"> been used for the treatment of ACOT</w:t>
      </w:r>
      <w:r w:rsidR="00F71863">
        <w:rPr>
          <w:rFonts w:ascii="Times New Roman" w:hAnsi="Times New Roman"/>
          <w:sz w:val="23"/>
        </w:rPr>
        <w:t xml:space="preserve"> and significant hemorrhage</w:t>
      </w:r>
      <w:r w:rsidRPr="00C30FC8">
        <w:rPr>
          <w:rFonts w:ascii="Times New Roman" w:hAnsi="Times New Roman"/>
          <w:sz w:val="23"/>
        </w:rPr>
        <w:t xml:space="preserve"> in severely injured trauma patie</w:t>
      </w:r>
      <w:r w:rsidR="00E97184">
        <w:rPr>
          <w:rFonts w:ascii="Times New Roman" w:hAnsi="Times New Roman"/>
          <w:sz w:val="23"/>
        </w:rPr>
        <w:t>nts and has gained its popularity</w:t>
      </w:r>
      <w:r w:rsidRPr="00C30FC8">
        <w:rPr>
          <w:rFonts w:ascii="Times New Roman" w:hAnsi="Times New Roman"/>
          <w:sz w:val="23"/>
        </w:rPr>
        <w:t xml:space="preserve"> due to successful use in the military with severely injured soldiers. TXA is most commonly administered to those patients who meet criteria for significant risk of hemorrhage given the mechanism of injury, obvious injuries on assess</w:t>
      </w:r>
      <w:r w:rsidR="00BE5713">
        <w:rPr>
          <w:rFonts w:ascii="Times New Roman" w:hAnsi="Times New Roman"/>
          <w:sz w:val="23"/>
        </w:rPr>
        <w:t>ment, and unstable hemodynamics.</w:t>
      </w:r>
      <w:r w:rsidRPr="00C30FC8">
        <w:rPr>
          <w:rFonts w:ascii="Times New Roman" w:hAnsi="Times New Roman"/>
          <w:sz w:val="23"/>
        </w:rPr>
        <w:t xml:space="preserve"> TXA has been shown to decrease the need for blood product transfusions, reduces surgical bleeding, and</w:t>
      </w:r>
      <w:r w:rsidR="00E97184">
        <w:rPr>
          <w:rFonts w:ascii="Times New Roman" w:hAnsi="Times New Roman"/>
          <w:sz w:val="23"/>
        </w:rPr>
        <w:t xml:space="preserve"> decrease</w:t>
      </w:r>
      <w:r w:rsidRPr="00C30FC8">
        <w:rPr>
          <w:rFonts w:ascii="Times New Roman" w:hAnsi="Times New Roman"/>
          <w:sz w:val="23"/>
        </w:rPr>
        <w:t xml:space="preserve"> the overall percentage of death due to post</w:t>
      </w:r>
      <w:r w:rsidR="00BE5713">
        <w:rPr>
          <w:rFonts w:ascii="Times New Roman" w:hAnsi="Times New Roman"/>
          <w:sz w:val="23"/>
        </w:rPr>
        <w:t>-</w:t>
      </w:r>
      <w:r w:rsidRPr="00C30FC8">
        <w:rPr>
          <w:rFonts w:ascii="Times New Roman" w:hAnsi="Times New Roman"/>
          <w:sz w:val="23"/>
        </w:rPr>
        <w:t>traumatic hemorrhage</w:t>
      </w:r>
      <w:r w:rsidR="00BE5713">
        <w:rPr>
          <w:rFonts w:ascii="Times New Roman" w:hAnsi="Times New Roman"/>
          <w:sz w:val="23"/>
        </w:rPr>
        <w:t xml:space="preserve"> in the presence of ACOT</w:t>
      </w:r>
      <w:r w:rsidRPr="00C30FC8">
        <w:rPr>
          <w:rFonts w:ascii="Times New Roman" w:hAnsi="Times New Roman"/>
          <w:sz w:val="23"/>
        </w:rPr>
        <w:t xml:space="preserve"> (Ruiz &amp; Andresen, 2013). </w:t>
      </w:r>
    </w:p>
    <w:p w:rsidR="00947DDA" w:rsidRPr="00C30FC8" w:rsidRDefault="00947DDA" w:rsidP="00947DDA">
      <w:pPr>
        <w:spacing w:line="480" w:lineRule="auto"/>
        <w:ind w:firstLine="720"/>
        <w:jc w:val="both"/>
        <w:rPr>
          <w:rFonts w:ascii="Times New Roman" w:hAnsi="Times New Roman"/>
          <w:sz w:val="23"/>
        </w:rPr>
      </w:pPr>
      <w:r w:rsidRPr="00C30FC8">
        <w:rPr>
          <w:rFonts w:ascii="Times New Roman" w:hAnsi="Times New Roman"/>
          <w:sz w:val="23"/>
        </w:rPr>
        <w:t xml:space="preserve">The increased use of TXA for resuscitation efforts in </w:t>
      </w:r>
      <w:r w:rsidR="00F71863">
        <w:rPr>
          <w:rFonts w:ascii="Times New Roman" w:hAnsi="Times New Roman"/>
          <w:sz w:val="23"/>
        </w:rPr>
        <w:t>the acute care setting</w:t>
      </w:r>
      <w:r w:rsidRPr="00C30FC8">
        <w:rPr>
          <w:rFonts w:ascii="Times New Roman" w:hAnsi="Times New Roman"/>
          <w:sz w:val="23"/>
        </w:rPr>
        <w:t xml:space="preserve"> in those patients with significant risk of hemorrhage due to ACOT as a result of severe trauma poses the question as to why this medication could not be used in the field prior to arrival to a trauma center, by either flight crews or even emergency medicine services (EMS) personnel given the significant decrease in mortality shown to be associated with its use. </w:t>
      </w:r>
      <w:r w:rsidR="00F71863">
        <w:rPr>
          <w:rFonts w:ascii="Times New Roman" w:hAnsi="Times New Roman"/>
          <w:sz w:val="23"/>
        </w:rPr>
        <w:t>As previously stated</w:t>
      </w:r>
      <w:r w:rsidRPr="00C30FC8">
        <w:rPr>
          <w:rFonts w:ascii="Times New Roman" w:hAnsi="Times New Roman"/>
          <w:sz w:val="23"/>
        </w:rPr>
        <w:t xml:space="preserve"> the use of TXA in patients at risk f</w:t>
      </w:r>
      <w:r w:rsidR="00F71863">
        <w:rPr>
          <w:rFonts w:ascii="Times New Roman" w:hAnsi="Times New Roman"/>
          <w:sz w:val="23"/>
        </w:rPr>
        <w:t>or significant bleeding has</w:t>
      </w:r>
      <w:r w:rsidRPr="00C30FC8">
        <w:rPr>
          <w:rFonts w:ascii="Times New Roman" w:hAnsi="Times New Roman"/>
          <w:sz w:val="23"/>
        </w:rPr>
        <w:t xml:space="preserve"> shown</w:t>
      </w:r>
      <w:r w:rsidR="00F71863">
        <w:rPr>
          <w:rFonts w:ascii="Times New Roman" w:hAnsi="Times New Roman"/>
          <w:sz w:val="23"/>
        </w:rPr>
        <w:t xml:space="preserve"> to</w:t>
      </w:r>
      <w:r w:rsidRPr="00C30FC8">
        <w:rPr>
          <w:rFonts w:ascii="Times New Roman" w:hAnsi="Times New Roman"/>
          <w:sz w:val="23"/>
        </w:rPr>
        <w:t xml:space="preserve"> significant</w:t>
      </w:r>
      <w:r w:rsidR="00F71863">
        <w:rPr>
          <w:rFonts w:ascii="Times New Roman" w:hAnsi="Times New Roman"/>
          <w:sz w:val="23"/>
        </w:rPr>
        <w:t>ly decrease</w:t>
      </w:r>
      <w:r w:rsidRPr="00C30FC8">
        <w:rPr>
          <w:rFonts w:ascii="Times New Roman" w:hAnsi="Times New Roman"/>
          <w:sz w:val="23"/>
        </w:rPr>
        <w:t xml:space="preserve"> mortality </w:t>
      </w:r>
      <w:r w:rsidR="00F71863" w:rsidRPr="00C30FC8">
        <w:rPr>
          <w:rFonts w:ascii="Times New Roman" w:hAnsi="Times New Roman"/>
          <w:sz w:val="23"/>
        </w:rPr>
        <w:t xml:space="preserve">in </w:t>
      </w:r>
      <w:r w:rsidR="00F71863">
        <w:rPr>
          <w:rFonts w:ascii="Times New Roman" w:hAnsi="Times New Roman"/>
          <w:sz w:val="23"/>
        </w:rPr>
        <w:t>the trauma population</w:t>
      </w:r>
      <w:r w:rsidRPr="00C30FC8">
        <w:rPr>
          <w:rFonts w:ascii="Times New Roman" w:hAnsi="Times New Roman"/>
          <w:sz w:val="23"/>
        </w:rPr>
        <w:t xml:space="preserve"> however, data has also shown that the use of TXA provides the improved results when administer</w:t>
      </w:r>
      <w:r w:rsidR="00E97184">
        <w:rPr>
          <w:rFonts w:ascii="Times New Roman" w:hAnsi="Times New Roman"/>
          <w:sz w:val="23"/>
        </w:rPr>
        <w:t>ed within three hours of injury</w:t>
      </w:r>
      <w:r w:rsidRPr="00C30FC8">
        <w:rPr>
          <w:rFonts w:ascii="Times New Roman" w:hAnsi="Times New Roman"/>
          <w:sz w:val="23"/>
        </w:rPr>
        <w:t xml:space="preserve"> with the best results when given within one hour of </w:t>
      </w:r>
      <w:r w:rsidR="003879B5">
        <w:rPr>
          <w:rFonts w:ascii="Times New Roman" w:hAnsi="Times New Roman"/>
          <w:sz w:val="23"/>
        </w:rPr>
        <w:t xml:space="preserve">traumatic injury </w:t>
      </w:r>
      <w:sdt>
        <w:sdtPr>
          <w:rPr>
            <w:rFonts w:ascii="Times New Roman" w:hAnsi="Times New Roman"/>
            <w:sz w:val="23"/>
          </w:rPr>
          <w:id w:val="-1538034390"/>
          <w:citation/>
        </w:sdtPr>
        <w:sdtContent>
          <w:r w:rsidR="00D747D5">
            <w:rPr>
              <w:rFonts w:ascii="Times New Roman" w:hAnsi="Times New Roman"/>
              <w:sz w:val="23"/>
            </w:rPr>
            <w:fldChar w:fldCharType="begin"/>
          </w:r>
          <w:r w:rsidR="00D747D5">
            <w:rPr>
              <w:rFonts w:ascii="Times New Roman" w:hAnsi="Times New Roman"/>
              <w:sz w:val="23"/>
            </w:rPr>
            <w:instrText xml:space="preserve"> CITATION Nap13 \l 1033 </w:instrText>
          </w:r>
          <w:r w:rsidR="00D747D5">
            <w:rPr>
              <w:rFonts w:ascii="Times New Roman" w:hAnsi="Times New Roman"/>
              <w:sz w:val="23"/>
            </w:rPr>
            <w:fldChar w:fldCharType="separate"/>
          </w:r>
          <w:r w:rsidR="00D747D5" w:rsidRPr="00324E1E">
            <w:rPr>
              <w:rFonts w:ascii="Times New Roman" w:hAnsi="Times New Roman"/>
              <w:noProof/>
              <w:sz w:val="23"/>
            </w:rPr>
            <w:t>(Napolitano, Cohen, Schreiber, Moore, &amp; Cotton, 2013)</w:t>
          </w:r>
          <w:r w:rsidR="00D747D5">
            <w:rPr>
              <w:rFonts w:ascii="Times New Roman" w:hAnsi="Times New Roman"/>
              <w:sz w:val="23"/>
            </w:rPr>
            <w:fldChar w:fldCharType="end"/>
          </w:r>
        </w:sdtContent>
      </w:sdt>
      <w:r w:rsidR="00D747D5">
        <w:rPr>
          <w:rFonts w:ascii="Times New Roman" w:hAnsi="Times New Roman"/>
          <w:sz w:val="23"/>
        </w:rPr>
        <w:t xml:space="preserve">. </w:t>
      </w:r>
    </w:p>
    <w:p w:rsidR="00947DDA" w:rsidRPr="00C30FC8" w:rsidRDefault="00947DDA" w:rsidP="00947DDA">
      <w:pPr>
        <w:spacing w:line="480" w:lineRule="auto"/>
        <w:jc w:val="both"/>
        <w:rPr>
          <w:rFonts w:ascii="Times New Roman" w:hAnsi="Times New Roman"/>
          <w:b/>
          <w:sz w:val="23"/>
        </w:rPr>
      </w:pPr>
      <w:r w:rsidRPr="00C30FC8">
        <w:rPr>
          <w:rFonts w:ascii="Times New Roman" w:hAnsi="Times New Roman"/>
          <w:b/>
          <w:sz w:val="23"/>
        </w:rPr>
        <w:t xml:space="preserve">Discussion of the Issue </w:t>
      </w:r>
    </w:p>
    <w:p w:rsidR="00947DDA" w:rsidRPr="00C30FC8" w:rsidRDefault="00947DDA" w:rsidP="00947DDA">
      <w:pPr>
        <w:spacing w:line="480" w:lineRule="auto"/>
        <w:jc w:val="both"/>
        <w:rPr>
          <w:rFonts w:ascii="Times New Roman" w:hAnsi="Times New Roman"/>
          <w:sz w:val="23"/>
        </w:rPr>
      </w:pPr>
      <w:r w:rsidRPr="00C30FC8">
        <w:rPr>
          <w:rFonts w:ascii="Times New Roman" w:hAnsi="Times New Roman"/>
          <w:b/>
          <w:sz w:val="23"/>
        </w:rPr>
        <w:tab/>
      </w:r>
      <w:r w:rsidRPr="00C30FC8">
        <w:rPr>
          <w:rFonts w:ascii="Times New Roman" w:hAnsi="Times New Roman"/>
          <w:sz w:val="23"/>
        </w:rPr>
        <w:t>T</w:t>
      </w:r>
      <w:r w:rsidR="00F71863">
        <w:rPr>
          <w:rFonts w:ascii="Times New Roman" w:hAnsi="Times New Roman"/>
          <w:sz w:val="23"/>
        </w:rPr>
        <w:t>he use of TXA is growing and quickly is becoming a standard</w:t>
      </w:r>
      <w:r w:rsidRPr="00C30FC8">
        <w:rPr>
          <w:rFonts w:ascii="Times New Roman" w:hAnsi="Times New Roman"/>
          <w:sz w:val="23"/>
        </w:rPr>
        <w:t xml:space="preserve"> therapy for physicians and advanced practice nurses for the prevention of mortality and morbidity in trauma patients who are at risk for hemorrhage related to traumatic injury. The</w:t>
      </w:r>
      <w:r w:rsidR="00F71863">
        <w:rPr>
          <w:rFonts w:ascii="Times New Roman" w:hAnsi="Times New Roman"/>
          <w:sz w:val="23"/>
        </w:rPr>
        <w:t xml:space="preserve"> main issue with</w:t>
      </w:r>
      <w:r w:rsidRPr="00C30FC8">
        <w:rPr>
          <w:rFonts w:ascii="Times New Roman" w:hAnsi="Times New Roman"/>
          <w:sz w:val="23"/>
        </w:rPr>
        <w:t xml:space="preserve"> the administration of </w:t>
      </w:r>
      <w:r w:rsidR="00F71863">
        <w:rPr>
          <w:rFonts w:ascii="Times New Roman" w:hAnsi="Times New Roman"/>
          <w:sz w:val="23"/>
        </w:rPr>
        <w:t>TXA</w:t>
      </w:r>
      <w:r w:rsidR="00BE5713">
        <w:rPr>
          <w:rFonts w:ascii="Times New Roman" w:hAnsi="Times New Roman"/>
          <w:sz w:val="23"/>
        </w:rPr>
        <w:t xml:space="preserve"> </w:t>
      </w:r>
      <w:r w:rsidRPr="00C30FC8">
        <w:rPr>
          <w:rFonts w:ascii="Times New Roman" w:hAnsi="Times New Roman"/>
          <w:sz w:val="23"/>
        </w:rPr>
        <w:t xml:space="preserve">is related to time its constraints.  Data has supported the use of TXA if a physician or advanced practice </w:t>
      </w:r>
      <w:r w:rsidRPr="00C30FC8">
        <w:rPr>
          <w:rFonts w:ascii="Times New Roman" w:hAnsi="Times New Roman"/>
          <w:sz w:val="23"/>
        </w:rPr>
        <w:lastRenderedPageBreak/>
        <w:t xml:space="preserve">nurse can order and administer the medication to patients </w:t>
      </w:r>
      <w:r w:rsidR="00F71863">
        <w:rPr>
          <w:rFonts w:ascii="Times New Roman" w:hAnsi="Times New Roman"/>
          <w:sz w:val="23"/>
        </w:rPr>
        <w:t xml:space="preserve">at the </w:t>
      </w:r>
      <w:r w:rsidRPr="00C30FC8">
        <w:rPr>
          <w:rFonts w:ascii="Times New Roman" w:hAnsi="Times New Roman"/>
          <w:sz w:val="23"/>
        </w:rPr>
        <w:t>latest three hours from the time of the traumatic injury; however, TXA has even better results of decreasing mortality due to bleeding if administered within one hour. TXA</w:t>
      </w:r>
      <w:r w:rsidR="00F71863">
        <w:rPr>
          <w:rFonts w:ascii="Times New Roman" w:hAnsi="Times New Roman"/>
          <w:sz w:val="23"/>
        </w:rPr>
        <w:t xml:space="preserve"> also has been shown to reduce</w:t>
      </w:r>
      <w:r w:rsidRPr="00C30FC8">
        <w:rPr>
          <w:rFonts w:ascii="Times New Roman" w:hAnsi="Times New Roman"/>
          <w:sz w:val="23"/>
        </w:rPr>
        <w:t xml:space="preserve"> the need for massive transfusion protocol, the mass administration blood products, by nearly one-third, which are known to have their own associated pitfalls, including transfusion related lung injury (TRALI), organ failure, and an increased </w:t>
      </w:r>
      <w:r w:rsidR="00A27905">
        <w:rPr>
          <w:rFonts w:ascii="Times New Roman" w:hAnsi="Times New Roman"/>
          <w:sz w:val="23"/>
        </w:rPr>
        <w:t>risk of infections (Duan,Yu</w:t>
      </w:r>
      <w:r w:rsidRPr="00C30FC8">
        <w:rPr>
          <w:rFonts w:ascii="Times New Roman" w:hAnsi="Times New Roman"/>
          <w:sz w:val="23"/>
        </w:rPr>
        <w:t xml:space="preserve">, &amp; Li, 2013). </w:t>
      </w:r>
    </w:p>
    <w:p w:rsidR="00947DDA" w:rsidRPr="00C30FC8" w:rsidRDefault="00F71863" w:rsidP="00947DDA">
      <w:pPr>
        <w:spacing w:line="480" w:lineRule="auto"/>
        <w:ind w:firstLine="720"/>
        <w:jc w:val="both"/>
        <w:rPr>
          <w:rFonts w:ascii="Times New Roman" w:hAnsi="Times New Roman"/>
          <w:sz w:val="23"/>
        </w:rPr>
      </w:pPr>
      <w:r>
        <w:rPr>
          <w:rFonts w:ascii="Times New Roman" w:hAnsi="Times New Roman"/>
          <w:sz w:val="23"/>
        </w:rPr>
        <w:t>Given the time sensitivity of the administration of TXA t</w:t>
      </w:r>
      <w:r w:rsidR="00947DDA" w:rsidRPr="00C30FC8">
        <w:rPr>
          <w:rFonts w:ascii="Times New Roman" w:hAnsi="Times New Roman"/>
          <w:sz w:val="23"/>
        </w:rPr>
        <w:t xml:space="preserve">he best place </w:t>
      </w:r>
      <w:r>
        <w:rPr>
          <w:rFonts w:ascii="Times New Roman" w:hAnsi="Times New Roman"/>
          <w:sz w:val="23"/>
        </w:rPr>
        <w:t>its use</w:t>
      </w:r>
      <w:r w:rsidR="00947DDA" w:rsidRPr="00C30FC8">
        <w:rPr>
          <w:rFonts w:ascii="Times New Roman" w:hAnsi="Times New Roman"/>
          <w:sz w:val="23"/>
        </w:rPr>
        <w:t xml:space="preserve"> may be in the pre-hospital setting</w:t>
      </w:r>
      <w:r w:rsidR="00E97184">
        <w:rPr>
          <w:rFonts w:ascii="Times New Roman" w:hAnsi="Times New Roman"/>
          <w:sz w:val="23"/>
        </w:rPr>
        <w:t xml:space="preserve">. There </w:t>
      </w:r>
      <w:r w:rsidR="00947DDA" w:rsidRPr="00C30FC8">
        <w:rPr>
          <w:rFonts w:ascii="Times New Roman" w:hAnsi="Times New Roman"/>
          <w:sz w:val="23"/>
        </w:rPr>
        <w:t xml:space="preserve">should be consideration given to </w:t>
      </w:r>
      <w:r w:rsidR="00BE5713">
        <w:rPr>
          <w:rFonts w:ascii="Times New Roman" w:hAnsi="Times New Roman"/>
          <w:sz w:val="23"/>
        </w:rPr>
        <w:t xml:space="preserve">allow </w:t>
      </w:r>
      <w:r w:rsidR="00BE5713" w:rsidRPr="00C30FC8">
        <w:rPr>
          <w:rFonts w:ascii="Times New Roman" w:hAnsi="Times New Roman"/>
          <w:sz w:val="23"/>
        </w:rPr>
        <w:t>pre</w:t>
      </w:r>
      <w:r w:rsidR="00947DDA" w:rsidRPr="00C30FC8">
        <w:rPr>
          <w:rFonts w:ascii="Times New Roman" w:hAnsi="Times New Roman"/>
          <w:sz w:val="23"/>
        </w:rPr>
        <w:t>-hospital personnel, including f</w:t>
      </w:r>
      <w:r w:rsidR="00E97184">
        <w:rPr>
          <w:rFonts w:ascii="Times New Roman" w:hAnsi="Times New Roman"/>
          <w:sz w:val="23"/>
        </w:rPr>
        <w:t xml:space="preserve">light advanced practice nurses, </w:t>
      </w:r>
      <w:r w:rsidR="00947DDA" w:rsidRPr="00C30FC8">
        <w:rPr>
          <w:rFonts w:ascii="Times New Roman" w:hAnsi="Times New Roman"/>
          <w:sz w:val="23"/>
        </w:rPr>
        <w:t>paramedics</w:t>
      </w:r>
      <w:r w:rsidR="00E97184">
        <w:rPr>
          <w:rFonts w:ascii="Times New Roman" w:hAnsi="Times New Roman"/>
          <w:sz w:val="23"/>
        </w:rPr>
        <w:t>, and EMS personnel</w:t>
      </w:r>
      <w:r w:rsidR="00947DDA" w:rsidRPr="00C30FC8">
        <w:rPr>
          <w:rFonts w:ascii="Times New Roman" w:hAnsi="Times New Roman"/>
          <w:sz w:val="23"/>
        </w:rPr>
        <w:t xml:space="preserve"> to be able to administer TXA as a part of an established protocol for patients who meet criteria for impending hemorrhagic shock or who are currently hemorrhaging due to trauma. Since the most recent published research and data supports the use of TXA in those patients with traumatic injury within no more than three hours of injury, with best results within one hour, it would be benefit the patient for pre-hospital personnel to have the option to administer this medication as data has shown air and road transport has reduced mortality but at times has an extended time to reach a hospital setting. This extended time is often related to prolonged extrication or severity of injury in an attempt to stabilize, or distance from a facility of treatment given a rural location. Other times the patient is being transferred from small outlying facility with little resources as compared to larger tra</w:t>
      </w:r>
      <w:r>
        <w:rPr>
          <w:rFonts w:ascii="Times New Roman" w:hAnsi="Times New Roman"/>
          <w:sz w:val="23"/>
        </w:rPr>
        <w:t>uma centers (Gruen &amp; Mitra, 201</w:t>
      </w:r>
      <w:r w:rsidR="0029257E">
        <w:rPr>
          <w:rFonts w:ascii="Times New Roman" w:hAnsi="Times New Roman"/>
          <w:sz w:val="23"/>
        </w:rPr>
        <w:t>1</w:t>
      </w:r>
      <w:r w:rsidR="00947DDA" w:rsidRPr="00C30FC8">
        <w:rPr>
          <w:rFonts w:ascii="Times New Roman" w:hAnsi="Times New Roman"/>
          <w:sz w:val="23"/>
        </w:rPr>
        <w:t>). No matter the delay, if the patient does not meet the time constraints for the administration of TXA the risks will outweigh the benefits. If TXA is given within the three ho</w:t>
      </w:r>
      <w:r>
        <w:rPr>
          <w:rFonts w:ascii="Times New Roman" w:hAnsi="Times New Roman"/>
          <w:sz w:val="23"/>
        </w:rPr>
        <w:t>ur window data reports there is</w:t>
      </w:r>
      <w:r w:rsidR="00947DDA" w:rsidRPr="00C30FC8">
        <w:rPr>
          <w:rFonts w:ascii="Times New Roman" w:hAnsi="Times New Roman"/>
          <w:sz w:val="23"/>
        </w:rPr>
        <w:t xml:space="preserve"> no increase in thrombosis and will decreas</w:t>
      </w:r>
      <w:r w:rsidR="00E97184">
        <w:rPr>
          <w:rFonts w:ascii="Times New Roman" w:hAnsi="Times New Roman"/>
          <w:sz w:val="23"/>
        </w:rPr>
        <w:t>e bleeding and associated death;</w:t>
      </w:r>
      <w:r w:rsidR="00947DDA" w:rsidRPr="00C30FC8">
        <w:rPr>
          <w:rFonts w:ascii="Times New Roman" w:hAnsi="Times New Roman"/>
          <w:sz w:val="23"/>
        </w:rPr>
        <w:t xml:space="preserve"> however, past the three hour window status post traumatic injury TXA has been shown to cause more harm than good, resulting in formatio</w:t>
      </w:r>
      <w:r>
        <w:rPr>
          <w:rFonts w:ascii="Times New Roman" w:hAnsi="Times New Roman"/>
          <w:sz w:val="23"/>
        </w:rPr>
        <w:t xml:space="preserve">n of thrombosis. The later TXA </w:t>
      </w:r>
      <w:r w:rsidR="00947DDA" w:rsidRPr="00C30FC8">
        <w:rPr>
          <w:rFonts w:ascii="Times New Roman" w:hAnsi="Times New Roman"/>
          <w:sz w:val="23"/>
        </w:rPr>
        <w:t>is administered the risk increases for side effects including the formation of thrombosis as hypercoagulation occurs in the later stages post tra</w:t>
      </w:r>
      <w:r w:rsidR="00A27905">
        <w:rPr>
          <w:rFonts w:ascii="Times New Roman" w:hAnsi="Times New Roman"/>
          <w:sz w:val="23"/>
        </w:rPr>
        <w:t>umatic injury (Duan, Yu</w:t>
      </w:r>
      <w:r w:rsidR="00947DDA" w:rsidRPr="00C30FC8">
        <w:rPr>
          <w:rFonts w:ascii="Times New Roman" w:hAnsi="Times New Roman"/>
          <w:sz w:val="23"/>
        </w:rPr>
        <w:t xml:space="preserve">, &amp; Li, 2013).   </w:t>
      </w:r>
    </w:p>
    <w:p w:rsidR="00947DDA" w:rsidRPr="00C30FC8" w:rsidRDefault="00947DDA" w:rsidP="00947DDA">
      <w:pPr>
        <w:spacing w:line="480" w:lineRule="auto"/>
        <w:ind w:firstLine="720"/>
        <w:jc w:val="both"/>
        <w:rPr>
          <w:rFonts w:ascii="Times New Roman" w:hAnsi="Times New Roman"/>
          <w:sz w:val="23"/>
        </w:rPr>
      </w:pPr>
      <w:r w:rsidRPr="00C30FC8">
        <w:rPr>
          <w:rFonts w:ascii="Times New Roman" w:hAnsi="Times New Roman"/>
          <w:sz w:val="23"/>
        </w:rPr>
        <w:lastRenderedPageBreak/>
        <w:t>Having the ability to administer TXA to those patients who will miss the time window, whether it be b</w:t>
      </w:r>
      <w:r w:rsidR="00E97184">
        <w:rPr>
          <w:rFonts w:ascii="Times New Roman" w:hAnsi="Times New Roman"/>
          <w:sz w:val="23"/>
        </w:rPr>
        <w:t>ecause of prolonged extrication</w:t>
      </w:r>
      <w:r w:rsidRPr="00C30FC8">
        <w:rPr>
          <w:rFonts w:ascii="Times New Roman" w:hAnsi="Times New Roman"/>
          <w:sz w:val="23"/>
        </w:rPr>
        <w:t xml:space="preserve"> or delay in being transferr</w:t>
      </w:r>
      <w:r w:rsidR="0029257E">
        <w:rPr>
          <w:rFonts w:ascii="Times New Roman" w:hAnsi="Times New Roman"/>
          <w:sz w:val="23"/>
        </w:rPr>
        <w:t>ed to a level one trauma center</w:t>
      </w:r>
      <w:r w:rsidRPr="00C30FC8">
        <w:rPr>
          <w:rFonts w:ascii="Times New Roman" w:hAnsi="Times New Roman"/>
          <w:sz w:val="23"/>
        </w:rPr>
        <w:t xml:space="preserve"> by pre-hospital personnel would increase the chance of survival in those patients at risk of significant bleeding due to the likelihood of ACOT</w:t>
      </w:r>
      <w:r w:rsidR="00E97184">
        <w:rPr>
          <w:rFonts w:ascii="Times New Roman" w:hAnsi="Times New Roman"/>
          <w:sz w:val="23"/>
        </w:rPr>
        <w:t>;</w:t>
      </w:r>
      <w:r w:rsidR="0029257E">
        <w:rPr>
          <w:rFonts w:ascii="Times New Roman" w:hAnsi="Times New Roman"/>
          <w:sz w:val="23"/>
        </w:rPr>
        <w:t xml:space="preserve"> </w:t>
      </w:r>
      <w:r w:rsidR="00E97184">
        <w:rPr>
          <w:rFonts w:ascii="Times New Roman" w:hAnsi="Times New Roman"/>
          <w:sz w:val="23"/>
        </w:rPr>
        <w:t xml:space="preserve">as </w:t>
      </w:r>
      <w:r w:rsidRPr="00C30FC8">
        <w:rPr>
          <w:rFonts w:ascii="Times New Roman" w:hAnsi="Times New Roman"/>
          <w:sz w:val="23"/>
        </w:rPr>
        <w:t>previously stated</w:t>
      </w:r>
      <w:r w:rsidR="00E97184">
        <w:rPr>
          <w:rFonts w:ascii="Times New Roman" w:hAnsi="Times New Roman"/>
          <w:sz w:val="23"/>
        </w:rPr>
        <w:t>,</w:t>
      </w:r>
      <w:r w:rsidRPr="00C30FC8">
        <w:rPr>
          <w:rFonts w:ascii="Times New Roman" w:hAnsi="Times New Roman"/>
          <w:sz w:val="23"/>
        </w:rPr>
        <w:t xml:space="preserve"> 40% of trauma patients have ACOT before resuscitation effor</w:t>
      </w:r>
      <w:r w:rsidR="003879B5">
        <w:rPr>
          <w:rFonts w:ascii="Times New Roman" w:hAnsi="Times New Roman"/>
          <w:sz w:val="23"/>
        </w:rPr>
        <w:t xml:space="preserve">ts are initiated </w:t>
      </w:r>
      <w:sdt>
        <w:sdtPr>
          <w:rPr>
            <w:rFonts w:ascii="Times New Roman" w:hAnsi="Times New Roman"/>
            <w:sz w:val="23"/>
          </w:rPr>
          <w:id w:val="703129421"/>
          <w:citation/>
        </w:sdtPr>
        <w:sdtContent>
          <w:r w:rsidR="00D747D5">
            <w:rPr>
              <w:rFonts w:ascii="Times New Roman" w:hAnsi="Times New Roman"/>
              <w:sz w:val="23"/>
            </w:rPr>
            <w:fldChar w:fldCharType="begin"/>
          </w:r>
          <w:r w:rsidR="00D747D5">
            <w:rPr>
              <w:rFonts w:ascii="Times New Roman" w:hAnsi="Times New Roman"/>
              <w:sz w:val="23"/>
            </w:rPr>
            <w:instrText xml:space="preserve"> CITATION Nap13 \l 1033 </w:instrText>
          </w:r>
          <w:r w:rsidR="00D747D5">
            <w:rPr>
              <w:rFonts w:ascii="Times New Roman" w:hAnsi="Times New Roman"/>
              <w:sz w:val="23"/>
            </w:rPr>
            <w:fldChar w:fldCharType="separate"/>
          </w:r>
          <w:r w:rsidR="00D747D5" w:rsidRPr="00324E1E">
            <w:rPr>
              <w:rFonts w:ascii="Times New Roman" w:hAnsi="Times New Roman"/>
              <w:noProof/>
              <w:sz w:val="23"/>
            </w:rPr>
            <w:t>(Napolitano, Cohen, Schreiber, Moore, &amp; Cotton, 2013)</w:t>
          </w:r>
          <w:r w:rsidR="00D747D5">
            <w:rPr>
              <w:rFonts w:ascii="Times New Roman" w:hAnsi="Times New Roman"/>
              <w:sz w:val="23"/>
            </w:rPr>
            <w:fldChar w:fldCharType="end"/>
          </w:r>
        </w:sdtContent>
      </w:sdt>
      <w:r w:rsidR="00D747D5">
        <w:rPr>
          <w:rFonts w:ascii="Times New Roman" w:hAnsi="Times New Roman"/>
          <w:sz w:val="23"/>
        </w:rPr>
        <w:t xml:space="preserve">. </w:t>
      </w:r>
      <w:r w:rsidRPr="00C30FC8">
        <w:rPr>
          <w:rFonts w:ascii="Times New Roman" w:hAnsi="Times New Roman"/>
          <w:sz w:val="23"/>
        </w:rPr>
        <w:t>Furthermore, consideration should be given to the elderly, who</w:t>
      </w:r>
      <w:r w:rsidR="00E97184">
        <w:rPr>
          <w:rFonts w:ascii="Times New Roman" w:hAnsi="Times New Roman"/>
          <w:sz w:val="23"/>
        </w:rPr>
        <w:t>se</w:t>
      </w:r>
      <w:r w:rsidRPr="00C30FC8">
        <w:rPr>
          <w:rFonts w:ascii="Times New Roman" w:hAnsi="Times New Roman"/>
          <w:sz w:val="23"/>
        </w:rPr>
        <w:t xml:space="preserve"> given comorbidities are often taking anti-platelet agents an</w:t>
      </w:r>
      <w:r w:rsidR="00F71863">
        <w:rPr>
          <w:rFonts w:ascii="Times New Roman" w:hAnsi="Times New Roman"/>
          <w:sz w:val="23"/>
        </w:rPr>
        <w:t xml:space="preserve">d/or anticoagulants due to a myriad of differing </w:t>
      </w:r>
      <w:r w:rsidRPr="00C30FC8">
        <w:rPr>
          <w:rFonts w:ascii="Times New Roman" w:hAnsi="Times New Roman"/>
          <w:sz w:val="23"/>
        </w:rPr>
        <w:t>disease processes making this population of patients at a much higher risk of developing hyperfibrinolysis and ACOT. The administration of TXA may decrease the likelihood of hemorrhage and decrease associated death as taking anticoagulants of any kind</w:t>
      </w:r>
      <w:r w:rsidR="00F71863">
        <w:rPr>
          <w:rFonts w:ascii="Times New Roman" w:hAnsi="Times New Roman"/>
          <w:sz w:val="23"/>
        </w:rPr>
        <w:t xml:space="preserve"> and the elderly population in general is at a highly increased risk</w:t>
      </w:r>
      <w:r w:rsidRPr="00C30FC8">
        <w:rPr>
          <w:rFonts w:ascii="Times New Roman" w:hAnsi="Times New Roman"/>
          <w:sz w:val="23"/>
        </w:rPr>
        <w:t xml:space="preserve"> (</w:t>
      </w:r>
      <w:r w:rsidR="00324E1E">
        <w:rPr>
          <w:rFonts w:ascii="Times New Roman" w:hAnsi="Times New Roman"/>
          <w:sz w:val="23"/>
        </w:rPr>
        <w:t xml:space="preserve">Williams, Sadjadi, Harken, &amp; Victorino, 2008). </w:t>
      </w:r>
      <w:r w:rsidRPr="00C30FC8">
        <w:rPr>
          <w:rFonts w:ascii="Times New Roman" w:hAnsi="Times New Roman"/>
          <w:sz w:val="23"/>
        </w:rPr>
        <w:t>The European guideline for the management of coagulopathy and bleeding following major trauma (2013) recommends the administration of TXA to all patients with trauma and significant bleeding. Also, the guideline recommends the development of protocols for the management of bleeding related to trauma</w:t>
      </w:r>
      <w:r w:rsidR="00755047">
        <w:rPr>
          <w:rFonts w:ascii="Times New Roman" w:hAnsi="Times New Roman"/>
          <w:sz w:val="23"/>
        </w:rPr>
        <w:t xml:space="preserve"> and the use of clinical judgment for basis of</w:t>
      </w:r>
      <w:r w:rsidRPr="00C30FC8">
        <w:rPr>
          <w:rFonts w:ascii="Times New Roman" w:hAnsi="Times New Roman"/>
          <w:sz w:val="23"/>
        </w:rPr>
        <w:t xml:space="preserve"> </w:t>
      </w:r>
      <w:r w:rsidR="00F71863">
        <w:rPr>
          <w:rFonts w:ascii="Times New Roman" w:hAnsi="Times New Roman"/>
          <w:sz w:val="23"/>
        </w:rPr>
        <w:t>consider</w:t>
      </w:r>
      <w:r w:rsidR="00755047">
        <w:rPr>
          <w:rFonts w:ascii="Times New Roman" w:hAnsi="Times New Roman"/>
          <w:sz w:val="23"/>
        </w:rPr>
        <w:t xml:space="preserve">ation for administration of </w:t>
      </w:r>
      <w:r w:rsidRPr="00C30FC8">
        <w:rPr>
          <w:rFonts w:ascii="Times New Roman" w:hAnsi="Times New Roman"/>
          <w:sz w:val="23"/>
        </w:rPr>
        <w:t>the first dose of TXA en route to a trauma center or</w:t>
      </w:r>
      <w:r w:rsidR="00755047">
        <w:rPr>
          <w:rFonts w:ascii="Times New Roman" w:hAnsi="Times New Roman"/>
          <w:sz w:val="23"/>
        </w:rPr>
        <w:t xml:space="preserve"> acute care</w:t>
      </w:r>
      <w:r w:rsidRPr="00C30FC8">
        <w:rPr>
          <w:rFonts w:ascii="Times New Roman" w:hAnsi="Times New Roman"/>
          <w:sz w:val="23"/>
        </w:rPr>
        <w:t xml:space="preserve"> hospital. This is due to the </w:t>
      </w:r>
      <w:r w:rsidR="00E97184">
        <w:rPr>
          <w:rFonts w:ascii="Times New Roman" w:hAnsi="Times New Roman"/>
          <w:sz w:val="23"/>
        </w:rPr>
        <w:t>above mentioned time restraints</w:t>
      </w:r>
      <w:r w:rsidRPr="00C30FC8">
        <w:rPr>
          <w:rFonts w:ascii="Times New Roman" w:hAnsi="Times New Roman"/>
          <w:sz w:val="23"/>
        </w:rPr>
        <w:t xml:space="preserve"> and therefore ensuring the first dose of TXA is given within the three hour time limit. Clinical judgment would be based on an established protocol for those patients at high risk of hemorrhage as base</w:t>
      </w:r>
      <w:r w:rsidR="00755047">
        <w:rPr>
          <w:rFonts w:ascii="Times New Roman" w:hAnsi="Times New Roman"/>
          <w:sz w:val="23"/>
        </w:rPr>
        <w:t xml:space="preserve">d on evidence based research such as unstable hemodynamics </w:t>
      </w:r>
      <w:r w:rsidR="003879B5">
        <w:rPr>
          <w:rFonts w:ascii="Times New Roman" w:hAnsi="Times New Roman"/>
          <w:sz w:val="23"/>
        </w:rPr>
        <w:t>(Spahn, et</w:t>
      </w:r>
      <w:r w:rsidRPr="00C30FC8">
        <w:rPr>
          <w:rFonts w:ascii="Times New Roman" w:hAnsi="Times New Roman"/>
          <w:sz w:val="23"/>
        </w:rPr>
        <w:t xml:space="preserve"> al., 2013). </w:t>
      </w:r>
    </w:p>
    <w:p w:rsidR="00947DDA" w:rsidRPr="00C30FC8" w:rsidRDefault="00947DDA" w:rsidP="00947DDA">
      <w:pPr>
        <w:spacing w:line="480" w:lineRule="auto"/>
        <w:jc w:val="both"/>
        <w:rPr>
          <w:rFonts w:ascii="Times New Roman" w:hAnsi="Times New Roman"/>
          <w:b/>
          <w:sz w:val="23"/>
        </w:rPr>
      </w:pPr>
      <w:r w:rsidRPr="00C30FC8">
        <w:rPr>
          <w:rFonts w:ascii="Times New Roman" w:hAnsi="Times New Roman"/>
          <w:b/>
          <w:sz w:val="23"/>
        </w:rPr>
        <w:t xml:space="preserve">Review of Literature </w:t>
      </w:r>
      <w:r w:rsidRPr="00C30FC8">
        <w:rPr>
          <w:rFonts w:ascii="Times New Roman" w:hAnsi="Times New Roman"/>
          <w:b/>
          <w:sz w:val="23"/>
        </w:rPr>
        <w:tab/>
      </w:r>
    </w:p>
    <w:p w:rsidR="00947DDA" w:rsidRPr="00C30FC8" w:rsidRDefault="00947DDA" w:rsidP="00947DDA">
      <w:pPr>
        <w:spacing w:line="480" w:lineRule="auto"/>
        <w:ind w:firstLine="720"/>
        <w:jc w:val="both"/>
        <w:rPr>
          <w:rFonts w:ascii="Times New Roman" w:hAnsi="Times New Roman"/>
          <w:sz w:val="23"/>
        </w:rPr>
      </w:pPr>
      <w:r w:rsidRPr="00C30FC8">
        <w:rPr>
          <w:rFonts w:ascii="Times New Roman" w:hAnsi="Times New Roman"/>
          <w:sz w:val="23"/>
        </w:rPr>
        <w:t>ACOT has been shown to cause death from hemorrhage related to traumatic injury. A</w:t>
      </w:r>
      <w:r w:rsidR="00755047">
        <w:rPr>
          <w:rFonts w:ascii="Times New Roman" w:hAnsi="Times New Roman"/>
          <w:sz w:val="23"/>
        </w:rPr>
        <w:t>lthough this is known, there had</w:t>
      </w:r>
      <w:r w:rsidRPr="00C30FC8">
        <w:rPr>
          <w:rFonts w:ascii="Times New Roman" w:hAnsi="Times New Roman"/>
          <w:sz w:val="23"/>
        </w:rPr>
        <w:t xml:space="preserve"> been a noticeable delay in implementing treatment</w:t>
      </w:r>
      <w:r w:rsidR="00755047">
        <w:rPr>
          <w:rFonts w:ascii="Times New Roman" w:hAnsi="Times New Roman"/>
          <w:sz w:val="23"/>
        </w:rPr>
        <w:t xml:space="preserve"> with the antifibrinolytic TXA in US</w:t>
      </w:r>
      <w:r w:rsidRPr="00C30FC8">
        <w:rPr>
          <w:rFonts w:ascii="Times New Roman" w:hAnsi="Times New Roman"/>
          <w:sz w:val="23"/>
        </w:rPr>
        <w:t xml:space="preserve"> trauma</w:t>
      </w:r>
      <w:r w:rsidR="00755047">
        <w:rPr>
          <w:rFonts w:ascii="Times New Roman" w:hAnsi="Times New Roman"/>
          <w:sz w:val="23"/>
        </w:rPr>
        <w:t xml:space="preserve"> centers</w:t>
      </w:r>
      <w:r w:rsidRPr="00C30FC8">
        <w:rPr>
          <w:rFonts w:ascii="Times New Roman" w:hAnsi="Times New Roman"/>
          <w:sz w:val="23"/>
        </w:rPr>
        <w:t xml:space="preserve"> until</w:t>
      </w:r>
      <w:r w:rsidR="00F71863">
        <w:rPr>
          <w:rFonts w:ascii="Times New Roman" w:hAnsi="Times New Roman"/>
          <w:sz w:val="23"/>
        </w:rPr>
        <w:t xml:space="preserve"> two</w:t>
      </w:r>
      <w:r w:rsidRPr="00C30FC8">
        <w:rPr>
          <w:rFonts w:ascii="Times New Roman" w:hAnsi="Times New Roman"/>
          <w:sz w:val="23"/>
        </w:rPr>
        <w:t xml:space="preserve"> recent research</w:t>
      </w:r>
      <w:r w:rsidR="00F71863">
        <w:rPr>
          <w:rFonts w:ascii="Times New Roman" w:hAnsi="Times New Roman"/>
          <w:sz w:val="23"/>
        </w:rPr>
        <w:t xml:space="preserve"> trials were completed and</w:t>
      </w:r>
      <w:r w:rsidRPr="00C30FC8">
        <w:rPr>
          <w:rFonts w:ascii="Times New Roman" w:hAnsi="Times New Roman"/>
          <w:sz w:val="23"/>
        </w:rPr>
        <w:t xml:space="preserve"> released</w:t>
      </w:r>
      <w:r w:rsidR="00F71863">
        <w:rPr>
          <w:rFonts w:ascii="Times New Roman" w:hAnsi="Times New Roman"/>
          <w:sz w:val="23"/>
        </w:rPr>
        <w:t xml:space="preserve"> data</w:t>
      </w:r>
      <w:r w:rsidRPr="00C30FC8">
        <w:rPr>
          <w:rFonts w:ascii="Times New Roman" w:hAnsi="Times New Roman"/>
          <w:sz w:val="23"/>
        </w:rPr>
        <w:t xml:space="preserve"> revealing the strong correlations between the use of TXA and the decrease in mortality related to significant bleeding.</w:t>
      </w:r>
      <w:r w:rsidR="00E97184">
        <w:rPr>
          <w:rFonts w:ascii="Times New Roman" w:hAnsi="Times New Roman"/>
          <w:sz w:val="23"/>
        </w:rPr>
        <w:t xml:space="preserve"> These studies examined</w:t>
      </w:r>
      <w:r w:rsidR="00F71863">
        <w:rPr>
          <w:rFonts w:ascii="Times New Roman" w:hAnsi="Times New Roman"/>
          <w:sz w:val="23"/>
        </w:rPr>
        <w:t xml:space="preserve"> </w:t>
      </w:r>
      <w:r w:rsidR="00E97184">
        <w:rPr>
          <w:rFonts w:ascii="Times New Roman" w:hAnsi="Times New Roman"/>
          <w:sz w:val="23"/>
        </w:rPr>
        <w:t xml:space="preserve">TXA, which use to be solely for the use of surgical and </w:t>
      </w:r>
      <w:r w:rsidR="00E97184">
        <w:rPr>
          <w:rFonts w:ascii="Times New Roman" w:hAnsi="Times New Roman"/>
          <w:sz w:val="23"/>
        </w:rPr>
        <w:lastRenderedPageBreak/>
        <w:t xml:space="preserve">gynecological treatment of bleeding, </w:t>
      </w:r>
      <w:r w:rsidR="00F71863">
        <w:rPr>
          <w:rFonts w:ascii="Times New Roman" w:hAnsi="Times New Roman"/>
          <w:sz w:val="23"/>
        </w:rPr>
        <w:t>and revealed new significant benefits in using TXA in the trauma population.</w:t>
      </w:r>
      <w:r w:rsidRPr="00C30FC8">
        <w:rPr>
          <w:rFonts w:ascii="Times New Roman" w:hAnsi="Times New Roman"/>
          <w:sz w:val="23"/>
        </w:rPr>
        <w:t xml:space="preserve"> The hesitation for the implementation of TXA was related to questions concerning the administration, including who should receive the mediation, and the parameters fo</w:t>
      </w:r>
      <w:r w:rsidR="003879B5">
        <w:rPr>
          <w:rFonts w:ascii="Times New Roman" w:hAnsi="Times New Roman"/>
          <w:sz w:val="23"/>
        </w:rPr>
        <w:t xml:space="preserve">r administration </w:t>
      </w:r>
      <w:sdt>
        <w:sdtPr>
          <w:rPr>
            <w:rFonts w:ascii="Times New Roman" w:hAnsi="Times New Roman"/>
            <w:sz w:val="23"/>
          </w:rPr>
          <w:id w:val="-275020257"/>
          <w:citation/>
        </w:sdtPr>
        <w:sdtContent>
          <w:r w:rsidR="00D747D5">
            <w:rPr>
              <w:rFonts w:ascii="Times New Roman" w:hAnsi="Times New Roman"/>
              <w:sz w:val="23"/>
            </w:rPr>
            <w:fldChar w:fldCharType="begin"/>
          </w:r>
          <w:r w:rsidR="00D747D5">
            <w:rPr>
              <w:rFonts w:ascii="Times New Roman" w:hAnsi="Times New Roman"/>
              <w:sz w:val="23"/>
            </w:rPr>
            <w:instrText xml:space="preserve"> CITATION Nap13 \l 1033 </w:instrText>
          </w:r>
          <w:r w:rsidR="00D747D5">
            <w:rPr>
              <w:rFonts w:ascii="Times New Roman" w:hAnsi="Times New Roman"/>
              <w:sz w:val="23"/>
            </w:rPr>
            <w:fldChar w:fldCharType="separate"/>
          </w:r>
          <w:r w:rsidR="00D747D5" w:rsidRPr="00324E1E">
            <w:rPr>
              <w:rFonts w:ascii="Times New Roman" w:hAnsi="Times New Roman"/>
              <w:noProof/>
              <w:sz w:val="23"/>
            </w:rPr>
            <w:t>(Napolitano, Cohen, Schreiber, Moore, &amp; Cotton, 2013)</w:t>
          </w:r>
          <w:r w:rsidR="00D747D5">
            <w:rPr>
              <w:rFonts w:ascii="Times New Roman" w:hAnsi="Times New Roman"/>
              <w:sz w:val="23"/>
            </w:rPr>
            <w:fldChar w:fldCharType="end"/>
          </w:r>
        </w:sdtContent>
      </w:sdt>
      <w:r w:rsidR="00D747D5">
        <w:rPr>
          <w:rFonts w:ascii="Times New Roman" w:hAnsi="Times New Roman"/>
          <w:sz w:val="23"/>
        </w:rPr>
        <w:t xml:space="preserve">. </w:t>
      </w:r>
    </w:p>
    <w:p w:rsidR="00947DDA" w:rsidRPr="00C30FC8" w:rsidRDefault="00947DDA" w:rsidP="00947DDA">
      <w:pPr>
        <w:spacing w:line="480" w:lineRule="auto"/>
        <w:ind w:firstLine="720"/>
        <w:jc w:val="both"/>
        <w:rPr>
          <w:rFonts w:ascii="Times New Roman" w:hAnsi="Times New Roman" w:cs="Arial"/>
          <w:sz w:val="23"/>
          <w:szCs w:val="26"/>
        </w:rPr>
      </w:pPr>
      <w:r w:rsidRPr="00C30FC8">
        <w:rPr>
          <w:rFonts w:ascii="Times New Roman" w:hAnsi="Times New Roman"/>
          <w:sz w:val="23"/>
        </w:rPr>
        <w:t xml:space="preserve">The use of TXA was assessed in patients injured during </w:t>
      </w:r>
      <w:r w:rsidR="00755047">
        <w:rPr>
          <w:rFonts w:ascii="Times New Roman" w:hAnsi="Times New Roman"/>
          <w:sz w:val="23"/>
        </w:rPr>
        <w:t>war</w:t>
      </w:r>
      <w:r w:rsidR="00755047" w:rsidRPr="00C30FC8">
        <w:rPr>
          <w:rFonts w:ascii="Times New Roman" w:hAnsi="Times New Roman"/>
          <w:sz w:val="23"/>
        </w:rPr>
        <w:t xml:space="preserve"> </w:t>
      </w:r>
      <w:r w:rsidRPr="00C30FC8">
        <w:rPr>
          <w:rFonts w:ascii="Times New Roman" w:hAnsi="Times New Roman"/>
          <w:sz w:val="23"/>
        </w:rPr>
        <w:t>with the purpose of identifying the effects of TXA on blood product administration, risk of thrombosis with use, and the overall</w:t>
      </w:r>
      <w:r w:rsidR="00755047">
        <w:rPr>
          <w:rFonts w:ascii="Times New Roman" w:hAnsi="Times New Roman"/>
          <w:sz w:val="23"/>
        </w:rPr>
        <w:t xml:space="preserve"> associated</w:t>
      </w:r>
      <w:r w:rsidRPr="00C30FC8">
        <w:rPr>
          <w:rFonts w:ascii="Times New Roman" w:hAnsi="Times New Roman"/>
          <w:sz w:val="23"/>
        </w:rPr>
        <w:t xml:space="preserve"> </w:t>
      </w:r>
      <w:r w:rsidR="00755047">
        <w:rPr>
          <w:rFonts w:ascii="Times New Roman" w:hAnsi="Times New Roman" w:cs="Arial"/>
          <w:sz w:val="23"/>
          <w:szCs w:val="26"/>
        </w:rPr>
        <w:t>death due to bleeding</w:t>
      </w:r>
      <w:r w:rsidR="00755047" w:rsidRPr="00C30FC8">
        <w:rPr>
          <w:rFonts w:ascii="Times New Roman" w:hAnsi="Times New Roman" w:cs="Arial"/>
          <w:sz w:val="23"/>
          <w:szCs w:val="26"/>
        </w:rPr>
        <w:t xml:space="preserve"> </w:t>
      </w:r>
      <w:r w:rsidRPr="00C30FC8">
        <w:rPr>
          <w:rFonts w:ascii="Times New Roman" w:hAnsi="Times New Roman" w:cs="Arial"/>
          <w:sz w:val="23"/>
          <w:szCs w:val="26"/>
        </w:rPr>
        <w:t>(Morrison, Dubo</w:t>
      </w:r>
      <w:r w:rsidR="003879B5">
        <w:rPr>
          <w:rFonts w:ascii="Times New Roman" w:hAnsi="Times New Roman" w:cs="Arial"/>
          <w:sz w:val="23"/>
          <w:szCs w:val="26"/>
        </w:rPr>
        <w:t>se, Rasmussen, &amp; Midwinter, 2012</w:t>
      </w:r>
      <w:r w:rsidRPr="00C30FC8">
        <w:rPr>
          <w:rFonts w:ascii="Times New Roman" w:hAnsi="Times New Roman" w:cs="Arial"/>
          <w:sz w:val="23"/>
          <w:szCs w:val="26"/>
        </w:rPr>
        <w:t xml:space="preserve">). A retrospective observational study was completed and compared patients who received TXA to those patients who did not receive TXA. The method of analysis involved the use of univariate and multivariate regression. A of total of 896 military personnel with </w:t>
      </w:r>
      <w:r w:rsidR="00755047">
        <w:rPr>
          <w:rFonts w:ascii="Times New Roman" w:hAnsi="Times New Roman" w:cs="Arial"/>
          <w:sz w:val="23"/>
          <w:szCs w:val="26"/>
        </w:rPr>
        <w:t>battle</w:t>
      </w:r>
      <w:r w:rsidR="00755047" w:rsidRPr="00C30FC8">
        <w:rPr>
          <w:rFonts w:ascii="Times New Roman" w:hAnsi="Times New Roman" w:cs="Arial"/>
          <w:sz w:val="23"/>
          <w:szCs w:val="26"/>
        </w:rPr>
        <w:t xml:space="preserve"> </w:t>
      </w:r>
      <w:r w:rsidRPr="00C30FC8">
        <w:rPr>
          <w:rFonts w:ascii="Times New Roman" w:hAnsi="Times New Roman" w:cs="Arial"/>
          <w:sz w:val="23"/>
          <w:szCs w:val="26"/>
        </w:rPr>
        <w:t>related trauma were analyzed in a hospital in Afghanistan. Of those 896 patients, 293 patients were given TXA at some point during the treatment course as identified via the United Kingdom and US trauma registries.  According to the results of the data, the group of patients who received the TXA had a lower rate of mortality compared to the group of no TXA (17.4% versus 23.9%, p=0.03). Data revealed the incidence of thrombotic events, including pulmonary embolism (2.7% versus 0.3%, p= 0.0001) and deep vein thrombosis (2.4% versus 0.2%, p=0.0001), significantly increased with the TXA group. However,</w:t>
      </w:r>
      <w:r w:rsidR="00755047">
        <w:rPr>
          <w:rFonts w:ascii="Times New Roman" w:hAnsi="Times New Roman" w:cs="Arial"/>
          <w:sz w:val="23"/>
          <w:szCs w:val="26"/>
        </w:rPr>
        <w:t xml:space="preserve"> once the data was corrected</w:t>
      </w:r>
      <w:r w:rsidRPr="00C30FC8">
        <w:rPr>
          <w:rFonts w:ascii="Times New Roman" w:hAnsi="Times New Roman" w:cs="Arial"/>
          <w:sz w:val="23"/>
          <w:szCs w:val="26"/>
        </w:rPr>
        <w:t xml:space="preserve"> using the severity of injury index, there was no noted association of inc</w:t>
      </w:r>
      <w:r w:rsidR="00755047">
        <w:rPr>
          <w:rFonts w:ascii="Times New Roman" w:hAnsi="Times New Roman" w:cs="Arial"/>
          <w:sz w:val="23"/>
          <w:szCs w:val="26"/>
        </w:rPr>
        <w:t>reased development of thrombotic related adverse effects</w:t>
      </w:r>
      <w:r w:rsidRPr="00C30FC8">
        <w:rPr>
          <w:rFonts w:ascii="Times New Roman" w:hAnsi="Times New Roman" w:cs="Arial"/>
          <w:sz w:val="23"/>
          <w:szCs w:val="26"/>
        </w:rPr>
        <w:t xml:space="preserve">, whether PE or DVT, </w:t>
      </w:r>
      <w:r w:rsidR="00E97184">
        <w:rPr>
          <w:rFonts w:ascii="Times New Roman" w:hAnsi="Times New Roman" w:cs="Arial"/>
          <w:sz w:val="23"/>
          <w:szCs w:val="26"/>
        </w:rPr>
        <w:t xml:space="preserve">with the use of TXA. </w:t>
      </w:r>
      <w:r w:rsidR="00524BB5">
        <w:rPr>
          <w:rFonts w:ascii="Times New Roman" w:hAnsi="Times New Roman" w:cs="Arial"/>
          <w:sz w:val="23"/>
          <w:szCs w:val="26"/>
        </w:rPr>
        <w:t>Additionally</w:t>
      </w:r>
      <w:r w:rsidRPr="00C30FC8">
        <w:rPr>
          <w:rFonts w:ascii="Times New Roman" w:hAnsi="Times New Roman" w:cs="Arial"/>
          <w:sz w:val="23"/>
          <w:szCs w:val="26"/>
        </w:rPr>
        <w:t>, TXA was shown to increase survival in the patient group who received the</w:t>
      </w:r>
      <w:r w:rsidR="00755047">
        <w:rPr>
          <w:rFonts w:ascii="Times New Roman" w:hAnsi="Times New Roman" w:cs="Arial"/>
          <w:sz w:val="23"/>
          <w:szCs w:val="26"/>
        </w:rPr>
        <w:t xml:space="preserve"> antifibrinolytic</w:t>
      </w:r>
      <w:r w:rsidRPr="00C30FC8">
        <w:rPr>
          <w:rFonts w:ascii="Times New Roman" w:hAnsi="Times New Roman" w:cs="Arial"/>
          <w:sz w:val="23"/>
          <w:szCs w:val="26"/>
        </w:rPr>
        <w:t xml:space="preserve"> drug (OR, 7.228; 95%CI). This study, the Military Application of Tranexamic Acid in Trauma Emergency Resuscitation (MATTERS), was one of the first supporting th</w:t>
      </w:r>
      <w:r w:rsidR="00524BB5">
        <w:rPr>
          <w:rFonts w:ascii="Times New Roman" w:hAnsi="Times New Roman" w:cs="Arial"/>
          <w:sz w:val="23"/>
          <w:szCs w:val="26"/>
        </w:rPr>
        <w:t>e use of TXA in trauma patients</w:t>
      </w:r>
      <w:r w:rsidRPr="00C30FC8">
        <w:rPr>
          <w:rFonts w:ascii="Times New Roman" w:hAnsi="Times New Roman" w:cs="Arial"/>
          <w:sz w:val="23"/>
          <w:szCs w:val="26"/>
        </w:rPr>
        <w:t xml:space="preserve"> and supports the implementation of TXA into </w:t>
      </w:r>
      <w:r w:rsidR="00755047">
        <w:rPr>
          <w:rFonts w:ascii="Times New Roman" w:hAnsi="Times New Roman" w:cs="Arial"/>
          <w:sz w:val="23"/>
          <w:szCs w:val="26"/>
        </w:rPr>
        <w:t>practice and procedure</w:t>
      </w:r>
      <w:r w:rsidR="00755047" w:rsidRPr="00C30FC8">
        <w:rPr>
          <w:rFonts w:ascii="Times New Roman" w:hAnsi="Times New Roman" w:cs="Arial"/>
          <w:sz w:val="23"/>
          <w:szCs w:val="26"/>
        </w:rPr>
        <w:t xml:space="preserve"> </w:t>
      </w:r>
      <w:r w:rsidRPr="00C30FC8">
        <w:rPr>
          <w:rFonts w:ascii="Times New Roman" w:hAnsi="Times New Roman" w:cs="Arial"/>
          <w:sz w:val="23"/>
          <w:szCs w:val="26"/>
        </w:rPr>
        <w:t xml:space="preserve">as part of the resuscitation efforts in those patients who are risk of increased bleeding, </w:t>
      </w:r>
      <w:r w:rsidR="00755047">
        <w:rPr>
          <w:rFonts w:ascii="Times New Roman" w:hAnsi="Times New Roman" w:cs="Arial"/>
          <w:sz w:val="23"/>
          <w:szCs w:val="26"/>
        </w:rPr>
        <w:t>shock related to hemorrhage</w:t>
      </w:r>
      <w:r w:rsidRPr="00C30FC8">
        <w:rPr>
          <w:rFonts w:ascii="Times New Roman" w:hAnsi="Times New Roman" w:cs="Arial"/>
          <w:sz w:val="23"/>
          <w:szCs w:val="26"/>
        </w:rPr>
        <w:t>, and death. Given the retrospective nature of thi</w:t>
      </w:r>
      <w:r w:rsidR="00524BB5">
        <w:rPr>
          <w:rFonts w:ascii="Times New Roman" w:hAnsi="Times New Roman" w:cs="Arial"/>
          <w:sz w:val="23"/>
          <w:szCs w:val="26"/>
        </w:rPr>
        <w:t>s study, there were limitations</w:t>
      </w:r>
      <w:r w:rsidRPr="00C30FC8">
        <w:rPr>
          <w:rFonts w:ascii="Times New Roman" w:hAnsi="Times New Roman" w:cs="Arial"/>
          <w:sz w:val="23"/>
          <w:szCs w:val="26"/>
        </w:rPr>
        <w:t xml:space="preserve"> which </w:t>
      </w:r>
      <w:r w:rsidRPr="00C30FC8">
        <w:rPr>
          <w:rFonts w:ascii="Times New Roman" w:hAnsi="Times New Roman" w:cs="Arial"/>
          <w:sz w:val="23"/>
          <w:szCs w:val="26"/>
        </w:rPr>
        <w:lastRenderedPageBreak/>
        <w:t xml:space="preserve">include the inability to provide information on the time </w:t>
      </w:r>
      <w:r w:rsidR="00755047">
        <w:rPr>
          <w:rFonts w:ascii="Times New Roman" w:hAnsi="Times New Roman" w:cs="Arial"/>
          <w:sz w:val="23"/>
          <w:szCs w:val="26"/>
        </w:rPr>
        <w:t>limitations</w:t>
      </w:r>
      <w:r w:rsidR="00755047" w:rsidRPr="00C30FC8">
        <w:rPr>
          <w:rFonts w:ascii="Times New Roman" w:hAnsi="Times New Roman" w:cs="Arial"/>
          <w:sz w:val="23"/>
          <w:szCs w:val="26"/>
        </w:rPr>
        <w:t xml:space="preserve"> </w:t>
      </w:r>
      <w:r w:rsidRPr="00C30FC8">
        <w:rPr>
          <w:rFonts w:ascii="Times New Roman" w:hAnsi="Times New Roman" w:cs="Arial"/>
          <w:sz w:val="23"/>
          <w:szCs w:val="26"/>
        </w:rPr>
        <w:t xml:space="preserve">associated with the use of TXA or indications of use as these patients were severely wounded combat soldiers. </w:t>
      </w:r>
    </w:p>
    <w:p w:rsidR="00947DDA" w:rsidRPr="00C30FC8" w:rsidRDefault="00947DDA" w:rsidP="00947DDA">
      <w:pPr>
        <w:spacing w:line="480" w:lineRule="auto"/>
        <w:ind w:firstLine="720"/>
        <w:jc w:val="both"/>
        <w:rPr>
          <w:rFonts w:ascii="Times New Roman" w:hAnsi="Times New Roman"/>
          <w:sz w:val="23"/>
        </w:rPr>
      </w:pPr>
      <w:r w:rsidRPr="00C30FC8">
        <w:rPr>
          <w:rFonts w:ascii="Times New Roman" w:hAnsi="Times New Roman" w:cs="Arial"/>
          <w:sz w:val="23"/>
          <w:szCs w:val="26"/>
        </w:rPr>
        <w:t xml:space="preserve">In order to evaluate whether TXA decreased mortality due to bleeding in trauma patients a large randomized control study was performed in 274 hospitals in 40 different countries (Shakur et. al., 2010). This study, the Clinical Randomization of an Antifibrinolytic in Significant Hemorrhage (CRASH-2), assessed the overall mortality, bleeding, and risk and rate of </w:t>
      </w:r>
      <w:r w:rsidR="00755047">
        <w:rPr>
          <w:rFonts w:ascii="Times New Roman" w:hAnsi="Times New Roman" w:cs="Arial"/>
          <w:sz w:val="23"/>
          <w:szCs w:val="26"/>
        </w:rPr>
        <w:t xml:space="preserve">thrombosis in a large sample size of </w:t>
      </w:r>
      <w:r w:rsidR="00755047" w:rsidRPr="00C30FC8">
        <w:rPr>
          <w:rFonts w:ascii="Times New Roman" w:hAnsi="Times New Roman" w:cs="Arial"/>
          <w:sz w:val="23"/>
          <w:szCs w:val="26"/>
        </w:rPr>
        <w:t>20,211</w:t>
      </w:r>
      <w:r w:rsidRPr="00C30FC8">
        <w:rPr>
          <w:rFonts w:ascii="Times New Roman" w:hAnsi="Times New Roman" w:cs="Arial"/>
          <w:sz w:val="23"/>
          <w:szCs w:val="26"/>
        </w:rPr>
        <w:t xml:space="preserve"> adult trauma patients. Of the total population</w:t>
      </w:r>
      <w:r w:rsidR="00755047">
        <w:rPr>
          <w:rFonts w:ascii="Times New Roman" w:hAnsi="Times New Roman" w:cs="Arial"/>
          <w:sz w:val="23"/>
          <w:szCs w:val="26"/>
        </w:rPr>
        <w:t xml:space="preserve"> of subjects</w:t>
      </w:r>
      <w:r w:rsidRPr="00C30FC8">
        <w:rPr>
          <w:rFonts w:ascii="Times New Roman" w:hAnsi="Times New Roman" w:cs="Arial"/>
          <w:sz w:val="23"/>
          <w:szCs w:val="26"/>
        </w:rPr>
        <w:t>, 10,096 received TXA</w:t>
      </w:r>
      <w:r w:rsidR="0040226D">
        <w:rPr>
          <w:rFonts w:ascii="Times New Roman" w:hAnsi="Times New Roman" w:cs="Arial"/>
          <w:sz w:val="23"/>
          <w:szCs w:val="26"/>
        </w:rPr>
        <w:t xml:space="preserve"> one gram intravenously over ten minutes followed by a drip of one gram over eight hours</w:t>
      </w:r>
      <w:r w:rsidR="00524BB5">
        <w:rPr>
          <w:rFonts w:ascii="Times New Roman" w:hAnsi="Times New Roman" w:cs="Arial"/>
          <w:sz w:val="23"/>
          <w:szCs w:val="26"/>
        </w:rPr>
        <w:t xml:space="preserve"> while</w:t>
      </w:r>
      <w:r w:rsidRPr="00C30FC8">
        <w:rPr>
          <w:rFonts w:ascii="Times New Roman" w:hAnsi="Times New Roman" w:cs="Arial"/>
          <w:sz w:val="23"/>
          <w:szCs w:val="26"/>
        </w:rPr>
        <w:t xml:space="preserve"> 10,115 received a placebo</w:t>
      </w:r>
      <w:r w:rsidR="00524BB5">
        <w:rPr>
          <w:rFonts w:ascii="Times New Roman" w:hAnsi="Times New Roman" w:cs="Arial"/>
          <w:sz w:val="23"/>
          <w:szCs w:val="26"/>
        </w:rPr>
        <w:t>. T</w:t>
      </w:r>
      <w:r w:rsidRPr="00C30FC8">
        <w:rPr>
          <w:rFonts w:ascii="Times New Roman" w:hAnsi="Times New Roman" w:cs="Arial"/>
          <w:sz w:val="23"/>
          <w:szCs w:val="26"/>
        </w:rPr>
        <w:t xml:space="preserve">he subjects were randomly assigned to a group within eight hours of injury. The inclusion criteria included any adult trauma patient who was at risk for significant hemorrhage related to mechanism of injury, unstable hemodynamic status which was defined as a systolic blood pressure less than </w:t>
      </w:r>
      <w:r w:rsidR="0040226D">
        <w:rPr>
          <w:rFonts w:ascii="Times New Roman" w:hAnsi="Times New Roman" w:cs="Arial"/>
          <w:sz w:val="23"/>
          <w:szCs w:val="26"/>
        </w:rPr>
        <w:t>90</w:t>
      </w:r>
      <w:r w:rsidR="00980D33">
        <w:rPr>
          <w:rFonts w:ascii="Times New Roman" w:hAnsi="Times New Roman" w:cs="Arial"/>
          <w:sz w:val="23"/>
          <w:szCs w:val="26"/>
        </w:rPr>
        <w:t xml:space="preserve"> mmhg</w:t>
      </w:r>
      <w:r w:rsidR="0040226D">
        <w:rPr>
          <w:rFonts w:ascii="Times New Roman" w:hAnsi="Times New Roman" w:cs="Arial"/>
          <w:sz w:val="23"/>
          <w:szCs w:val="26"/>
        </w:rPr>
        <w:t>, a heart rate greater than 11</w:t>
      </w:r>
      <w:r w:rsidRPr="00C30FC8">
        <w:rPr>
          <w:rFonts w:ascii="Times New Roman" w:hAnsi="Times New Roman" w:cs="Arial"/>
          <w:sz w:val="23"/>
          <w:szCs w:val="26"/>
        </w:rPr>
        <w:t xml:space="preserve">0 beats per minute or both, and injury within eight hours of </w:t>
      </w:r>
      <w:r w:rsidR="00755047">
        <w:rPr>
          <w:rFonts w:ascii="Times New Roman" w:hAnsi="Times New Roman" w:cs="Arial"/>
          <w:sz w:val="23"/>
          <w:szCs w:val="26"/>
        </w:rPr>
        <w:t xml:space="preserve">TXA or placebo administration. </w:t>
      </w:r>
      <w:r w:rsidRPr="00C30FC8">
        <w:rPr>
          <w:rFonts w:ascii="Times New Roman" w:hAnsi="Times New Roman" w:cs="Arial"/>
          <w:sz w:val="23"/>
          <w:szCs w:val="26"/>
        </w:rPr>
        <w:t xml:space="preserve">Since the one of the major risks of administering an antifibrinolytic is the </w:t>
      </w:r>
      <w:r w:rsidR="00755047">
        <w:rPr>
          <w:rFonts w:ascii="Times New Roman" w:hAnsi="Times New Roman" w:cs="Arial"/>
          <w:sz w:val="23"/>
          <w:szCs w:val="26"/>
        </w:rPr>
        <w:t xml:space="preserve">development </w:t>
      </w:r>
      <w:r w:rsidRPr="00C30FC8">
        <w:rPr>
          <w:rFonts w:ascii="Times New Roman" w:hAnsi="Times New Roman" w:cs="Arial"/>
          <w:sz w:val="23"/>
          <w:szCs w:val="26"/>
        </w:rPr>
        <w:t>of thrombosis, this study also evaluated the development of thrombotic events. In this study the demographics, trauma factors, and</w:t>
      </w:r>
      <w:r w:rsidR="00755047">
        <w:rPr>
          <w:rFonts w:ascii="Times New Roman" w:hAnsi="Times New Roman" w:cs="Arial"/>
          <w:sz w:val="23"/>
          <w:szCs w:val="26"/>
        </w:rPr>
        <w:t xml:space="preserve"> trauma severity score were</w:t>
      </w:r>
      <w:r w:rsidR="00755047" w:rsidRPr="00755047">
        <w:rPr>
          <w:rFonts w:ascii="Times New Roman" w:hAnsi="Times New Roman" w:cs="Arial"/>
          <w:sz w:val="23"/>
          <w:szCs w:val="26"/>
        </w:rPr>
        <w:t xml:space="preserve"> </w:t>
      </w:r>
      <w:r w:rsidR="00755047">
        <w:rPr>
          <w:rFonts w:ascii="Times New Roman" w:hAnsi="Times New Roman" w:cs="Arial"/>
          <w:sz w:val="23"/>
          <w:szCs w:val="26"/>
        </w:rPr>
        <w:t>well-adjusted</w:t>
      </w:r>
      <w:r w:rsidRPr="00C30FC8">
        <w:rPr>
          <w:rFonts w:ascii="Times New Roman" w:hAnsi="Times New Roman" w:cs="Arial"/>
          <w:sz w:val="23"/>
          <w:szCs w:val="26"/>
        </w:rPr>
        <w:t>.  The results of the CRASH-2 trial were significant and one the most imperative findings of this study is related to time of administration. The 28-day mortality was 14.5% for the TXA group and 16% for the placebo group (RR 0.91; CI 95%; p=0.0035), and there was no noted increase in thrombotic events when comparing the two groups (PE 0.7% for the TXA group versus 0.7% for the control, DVT 0.4% for the TXA group versus</w:t>
      </w:r>
      <w:r w:rsidR="00755047">
        <w:rPr>
          <w:rFonts w:ascii="Times New Roman" w:hAnsi="Times New Roman" w:cs="Arial"/>
          <w:sz w:val="23"/>
          <w:szCs w:val="26"/>
        </w:rPr>
        <w:t xml:space="preserve"> 0.4% for the control, and CVA</w:t>
      </w:r>
      <w:r w:rsidRPr="00C30FC8">
        <w:rPr>
          <w:rFonts w:ascii="Times New Roman" w:hAnsi="Times New Roman" w:cs="Arial"/>
          <w:sz w:val="23"/>
          <w:szCs w:val="26"/>
        </w:rPr>
        <w:t xml:space="preserve"> 0.6% for the TXA group versus 0.5% for the control group). Given the benefit of decreased mortality and the absence of an increase in risk of harm, a 1.5% reduction in</w:t>
      </w:r>
      <w:r w:rsidR="00755047">
        <w:rPr>
          <w:rFonts w:ascii="Times New Roman" w:hAnsi="Times New Roman" w:cs="Arial"/>
          <w:sz w:val="23"/>
          <w:szCs w:val="26"/>
        </w:rPr>
        <w:t xml:space="preserve"> the overall</w:t>
      </w:r>
      <w:r w:rsidRPr="00C30FC8">
        <w:rPr>
          <w:rFonts w:ascii="Times New Roman" w:hAnsi="Times New Roman" w:cs="Arial"/>
          <w:sz w:val="23"/>
          <w:szCs w:val="26"/>
        </w:rPr>
        <w:t xml:space="preserve"> mortality is a </w:t>
      </w:r>
      <w:r w:rsidR="00755047">
        <w:rPr>
          <w:rFonts w:ascii="Times New Roman" w:hAnsi="Times New Roman" w:cs="Arial"/>
          <w:sz w:val="23"/>
          <w:szCs w:val="26"/>
        </w:rPr>
        <w:t>considerable</w:t>
      </w:r>
      <w:r w:rsidR="00755047" w:rsidRPr="00C30FC8">
        <w:rPr>
          <w:rFonts w:ascii="Times New Roman" w:hAnsi="Times New Roman" w:cs="Arial"/>
          <w:sz w:val="23"/>
          <w:szCs w:val="26"/>
        </w:rPr>
        <w:t xml:space="preserve"> </w:t>
      </w:r>
      <w:r w:rsidR="00524BB5">
        <w:rPr>
          <w:rFonts w:ascii="Times New Roman" w:hAnsi="Times New Roman" w:cs="Arial"/>
          <w:sz w:val="23"/>
          <w:szCs w:val="26"/>
        </w:rPr>
        <w:t>finding. This study concluded</w:t>
      </w:r>
      <w:r w:rsidRPr="00C30FC8">
        <w:rPr>
          <w:rFonts w:ascii="Times New Roman" w:hAnsi="Times New Roman" w:cs="Arial"/>
          <w:sz w:val="23"/>
          <w:szCs w:val="26"/>
        </w:rPr>
        <w:t xml:space="preserve"> that the use of TXA could save the </w:t>
      </w:r>
      <w:r w:rsidR="0040226D">
        <w:rPr>
          <w:rFonts w:ascii="Times New Roman" w:hAnsi="Times New Roman" w:cs="Arial"/>
          <w:sz w:val="23"/>
          <w:szCs w:val="26"/>
        </w:rPr>
        <w:t>lives of nearly 70-100,000 trauma patients</w:t>
      </w:r>
      <w:r w:rsidRPr="00C30FC8">
        <w:rPr>
          <w:rFonts w:ascii="Times New Roman" w:hAnsi="Times New Roman" w:cs="Arial"/>
          <w:sz w:val="23"/>
          <w:szCs w:val="26"/>
        </w:rPr>
        <w:t xml:space="preserve"> per year across the globe. Furthermore, this study concluded that the earlier the administration of TXA the better the results and noted less likelihood of death from hemorrhage. </w:t>
      </w:r>
      <w:r w:rsidRPr="00C30FC8">
        <w:rPr>
          <w:rFonts w:ascii="Times New Roman" w:hAnsi="Times New Roman" w:cs="Arial"/>
          <w:sz w:val="23"/>
          <w:szCs w:val="26"/>
        </w:rPr>
        <w:lastRenderedPageBreak/>
        <w:t>If TXA is given less than one hour from injury the b</w:t>
      </w:r>
      <w:r w:rsidR="0040226D">
        <w:rPr>
          <w:rFonts w:ascii="Times New Roman" w:hAnsi="Times New Roman" w:cs="Arial"/>
          <w:sz w:val="23"/>
          <w:szCs w:val="26"/>
        </w:rPr>
        <w:t>est results (</w:t>
      </w:r>
      <w:r w:rsidR="00524BB5">
        <w:rPr>
          <w:rFonts w:ascii="Times New Roman" w:hAnsi="Times New Roman" w:cs="Arial"/>
          <w:sz w:val="23"/>
          <w:szCs w:val="26"/>
        </w:rPr>
        <w:t>CI 0</w:t>
      </w:r>
      <w:r w:rsidR="0040226D">
        <w:rPr>
          <w:rFonts w:ascii="Times New Roman" w:hAnsi="Times New Roman" w:cs="Arial"/>
          <w:sz w:val="23"/>
          <w:szCs w:val="26"/>
        </w:rPr>
        <w:t>.68) were noted and included a 32% reduction in deaths related to bleeding. Results</w:t>
      </w:r>
      <w:r w:rsidRPr="00C30FC8">
        <w:rPr>
          <w:rFonts w:ascii="Times New Roman" w:hAnsi="Times New Roman" w:cs="Arial"/>
          <w:sz w:val="23"/>
          <w:szCs w:val="26"/>
        </w:rPr>
        <w:t xml:space="preserve"> also</w:t>
      </w:r>
      <w:r w:rsidR="0040226D">
        <w:rPr>
          <w:rFonts w:ascii="Times New Roman" w:hAnsi="Times New Roman" w:cs="Arial"/>
          <w:sz w:val="23"/>
          <w:szCs w:val="26"/>
        </w:rPr>
        <w:t xml:space="preserve"> revealed</w:t>
      </w:r>
      <w:r w:rsidRPr="00C30FC8">
        <w:rPr>
          <w:rFonts w:ascii="Times New Roman" w:hAnsi="Times New Roman" w:cs="Arial"/>
          <w:sz w:val="23"/>
          <w:szCs w:val="26"/>
        </w:rPr>
        <w:t xml:space="preserve"> </w:t>
      </w:r>
      <w:r w:rsidR="00980D33">
        <w:rPr>
          <w:rFonts w:ascii="Times New Roman" w:hAnsi="Times New Roman" w:cs="Arial"/>
          <w:sz w:val="23"/>
          <w:szCs w:val="26"/>
        </w:rPr>
        <w:t>improvement</w:t>
      </w:r>
      <w:r w:rsidRPr="00C30FC8">
        <w:rPr>
          <w:rFonts w:ascii="Times New Roman" w:hAnsi="Times New Roman" w:cs="Arial"/>
          <w:sz w:val="23"/>
          <w:szCs w:val="26"/>
        </w:rPr>
        <w:t xml:space="preserve"> if given within three hours (</w:t>
      </w:r>
      <w:r w:rsidR="00524BB5">
        <w:rPr>
          <w:rFonts w:ascii="Times New Roman" w:hAnsi="Times New Roman" w:cs="Arial"/>
          <w:sz w:val="23"/>
          <w:szCs w:val="26"/>
        </w:rPr>
        <w:t>CI 0</w:t>
      </w:r>
      <w:r w:rsidRPr="00C30FC8">
        <w:rPr>
          <w:rFonts w:ascii="Times New Roman" w:hAnsi="Times New Roman" w:cs="Arial"/>
          <w:sz w:val="23"/>
          <w:szCs w:val="26"/>
        </w:rPr>
        <w:t>.79) but were noted to be harmful if given three hours post</w:t>
      </w:r>
      <w:r w:rsidR="00980D33">
        <w:rPr>
          <w:rFonts w:ascii="Times New Roman" w:hAnsi="Times New Roman" w:cs="Arial"/>
          <w:sz w:val="23"/>
          <w:szCs w:val="26"/>
        </w:rPr>
        <w:t xml:space="preserve"> traumatic</w:t>
      </w:r>
      <w:r w:rsidRPr="00C30FC8">
        <w:rPr>
          <w:rFonts w:ascii="Times New Roman" w:hAnsi="Times New Roman" w:cs="Arial"/>
          <w:sz w:val="23"/>
          <w:szCs w:val="26"/>
        </w:rPr>
        <w:t xml:space="preserve"> injury (</w:t>
      </w:r>
      <w:r w:rsidR="00524BB5">
        <w:rPr>
          <w:rFonts w:ascii="Times New Roman" w:hAnsi="Times New Roman" w:cs="Arial"/>
          <w:sz w:val="23"/>
          <w:szCs w:val="26"/>
        </w:rPr>
        <w:t xml:space="preserve">CI </w:t>
      </w:r>
      <w:r w:rsidRPr="00C30FC8">
        <w:rPr>
          <w:rFonts w:ascii="Times New Roman" w:hAnsi="Times New Roman" w:cs="Arial"/>
          <w:sz w:val="23"/>
          <w:szCs w:val="26"/>
        </w:rPr>
        <w:t>1.44) with an increase in thrombotic events. Limitations of the CRASH-2 trial included the potential for selection biases, no coagulation studies prior to administration, and a document</w:t>
      </w:r>
      <w:r w:rsidR="00524BB5">
        <w:rPr>
          <w:rFonts w:ascii="Times New Roman" w:hAnsi="Times New Roman" w:cs="Arial"/>
          <w:sz w:val="23"/>
          <w:szCs w:val="26"/>
        </w:rPr>
        <w:t>ed 100% follow-up from patients</w:t>
      </w:r>
      <w:r w:rsidRPr="00C30FC8">
        <w:rPr>
          <w:rFonts w:ascii="Times New Roman" w:hAnsi="Times New Roman" w:cs="Arial"/>
          <w:sz w:val="23"/>
          <w:szCs w:val="26"/>
        </w:rPr>
        <w:t xml:space="preserve"> which appears unrealistic. This study</w:t>
      </w:r>
      <w:r w:rsidR="00524BB5">
        <w:rPr>
          <w:rFonts w:ascii="Times New Roman" w:hAnsi="Times New Roman" w:cs="Arial"/>
          <w:sz w:val="23"/>
          <w:szCs w:val="26"/>
        </w:rPr>
        <w:t>,</w:t>
      </w:r>
      <w:r w:rsidRPr="00C30FC8">
        <w:rPr>
          <w:rFonts w:ascii="Times New Roman" w:hAnsi="Times New Roman" w:cs="Arial"/>
          <w:sz w:val="23"/>
          <w:szCs w:val="26"/>
        </w:rPr>
        <w:t xml:space="preserve"> however, is considered significant and is considered the mainstay study in the implementation of TXA use in </w:t>
      </w:r>
      <w:r w:rsidR="00980D33">
        <w:rPr>
          <w:rFonts w:ascii="Times New Roman" w:hAnsi="Times New Roman" w:cs="Arial"/>
          <w:sz w:val="23"/>
          <w:szCs w:val="26"/>
        </w:rPr>
        <w:t>acute care settings</w:t>
      </w:r>
      <w:r w:rsidRPr="00C30FC8">
        <w:rPr>
          <w:rFonts w:ascii="Times New Roman" w:hAnsi="Times New Roman" w:cs="Arial"/>
          <w:sz w:val="23"/>
          <w:szCs w:val="26"/>
        </w:rPr>
        <w:t xml:space="preserve"> for time of administration as well as for the parameter guidelines </w:t>
      </w:r>
      <w:r w:rsidR="0040226D">
        <w:rPr>
          <w:rFonts w:ascii="Times New Roman" w:hAnsi="Times New Roman" w:cs="Arial"/>
          <w:sz w:val="23"/>
          <w:szCs w:val="26"/>
        </w:rPr>
        <w:t xml:space="preserve">for those patients requiring </w:t>
      </w:r>
      <w:r w:rsidRPr="00C30FC8">
        <w:rPr>
          <w:rFonts w:ascii="Times New Roman" w:hAnsi="Times New Roman" w:cs="Arial"/>
          <w:sz w:val="23"/>
          <w:szCs w:val="26"/>
        </w:rPr>
        <w:t>administration. The recommendations as a result from this study are to implement TXA use into clinical practice as a way to prevent death from hemorrhage in trauma patients and should be administered as early as possible, within one hour of</w:t>
      </w:r>
      <w:r w:rsidR="00980D33">
        <w:rPr>
          <w:rFonts w:ascii="Times New Roman" w:hAnsi="Times New Roman" w:cs="Arial"/>
          <w:sz w:val="23"/>
          <w:szCs w:val="26"/>
        </w:rPr>
        <w:t xml:space="preserve"> injury</w:t>
      </w:r>
      <w:r w:rsidRPr="00C30FC8">
        <w:rPr>
          <w:rFonts w:ascii="Times New Roman" w:hAnsi="Times New Roman" w:cs="Arial"/>
          <w:sz w:val="23"/>
          <w:szCs w:val="26"/>
        </w:rPr>
        <w:t xml:space="preserve">, with late administration after three hours not recommended. </w:t>
      </w:r>
    </w:p>
    <w:p w:rsidR="00947DDA" w:rsidRPr="00C30FC8" w:rsidRDefault="00947DDA" w:rsidP="00947DDA">
      <w:pPr>
        <w:pStyle w:val="NormalWeb"/>
        <w:spacing w:before="2" w:after="2" w:line="480" w:lineRule="auto"/>
        <w:rPr>
          <w:rFonts w:ascii="Times New Roman" w:hAnsi="Times New Roman"/>
          <w:sz w:val="23"/>
        </w:rPr>
      </w:pPr>
      <w:r w:rsidRPr="00C30FC8">
        <w:rPr>
          <w:rFonts w:ascii="Times New Roman" w:hAnsi="Times New Roman"/>
          <w:b/>
          <w:sz w:val="23"/>
        </w:rPr>
        <w:tab/>
      </w:r>
      <w:r w:rsidRPr="00C30FC8">
        <w:rPr>
          <w:rFonts w:ascii="Times New Roman" w:hAnsi="Times New Roman"/>
          <w:sz w:val="23"/>
        </w:rPr>
        <w:t xml:space="preserve">A smaller retrospective multiple cohort study was completed with a purpose of </w:t>
      </w:r>
      <w:r w:rsidR="00980D33">
        <w:rPr>
          <w:rFonts w:ascii="Times New Roman" w:hAnsi="Times New Roman"/>
          <w:sz w:val="23"/>
        </w:rPr>
        <w:t xml:space="preserve">initiating </w:t>
      </w:r>
      <w:r w:rsidRPr="00C30FC8">
        <w:rPr>
          <w:rFonts w:ascii="Times New Roman" w:hAnsi="Times New Roman"/>
          <w:sz w:val="23"/>
        </w:rPr>
        <w:t xml:space="preserve">a TXA </w:t>
      </w:r>
      <w:r w:rsidR="0040226D">
        <w:rPr>
          <w:rFonts w:ascii="Times New Roman" w:hAnsi="Times New Roman"/>
          <w:sz w:val="23"/>
        </w:rPr>
        <w:t>guideline in traumatic injury for</w:t>
      </w:r>
      <w:r w:rsidRPr="00C30FC8">
        <w:rPr>
          <w:rFonts w:ascii="Times New Roman" w:hAnsi="Times New Roman"/>
          <w:sz w:val="23"/>
        </w:rPr>
        <w:t xml:space="preserve"> a level</w:t>
      </w:r>
      <w:r w:rsidR="003879B5">
        <w:rPr>
          <w:rFonts w:ascii="Times New Roman" w:hAnsi="Times New Roman"/>
          <w:sz w:val="23"/>
        </w:rPr>
        <w:t xml:space="preserve"> one-trauma center </w:t>
      </w:r>
      <w:r w:rsidR="00D747D5" w:rsidRPr="00D747D5">
        <w:rPr>
          <w:rFonts w:ascii="Times New Roman" w:hAnsi="Times New Roman"/>
          <w:sz w:val="23"/>
          <w:szCs w:val="23"/>
        </w:rPr>
        <w:t>(</w:t>
      </w:r>
      <w:r w:rsidR="00D747D5" w:rsidRPr="00D747D5">
        <w:rPr>
          <w:rFonts w:ascii="Times New Roman" w:hAnsi="Times New Roman"/>
          <w:noProof/>
          <w:sz w:val="23"/>
          <w:szCs w:val="23"/>
        </w:rPr>
        <w:t>Swendsen, Galante , Utter, B</w:t>
      </w:r>
      <w:r w:rsidR="00D747D5" w:rsidRPr="00D747D5">
        <w:rPr>
          <w:rFonts w:ascii="Times New Roman" w:hAnsi="Times New Roman"/>
          <w:noProof/>
          <w:sz w:val="23"/>
          <w:szCs w:val="23"/>
        </w:rPr>
        <w:t xml:space="preserve">ateni, Scherer, &amp; Schermer, 2013). </w:t>
      </w:r>
      <w:r w:rsidRPr="00C30FC8">
        <w:rPr>
          <w:rFonts w:ascii="Times New Roman" w:hAnsi="Times New Roman"/>
          <w:sz w:val="23"/>
        </w:rPr>
        <w:t>This study compared groups of severely injured trauma patients who received TXA versus those who did not. Th</w:t>
      </w:r>
      <w:r>
        <w:rPr>
          <w:rFonts w:ascii="Times New Roman" w:hAnsi="Times New Roman"/>
          <w:sz w:val="23"/>
        </w:rPr>
        <w:t>e criteria for TXA administration</w:t>
      </w:r>
      <w:r w:rsidRPr="00C30FC8">
        <w:rPr>
          <w:rFonts w:ascii="Times New Roman" w:hAnsi="Times New Roman"/>
          <w:sz w:val="23"/>
        </w:rPr>
        <w:t xml:space="preserve"> at this facility was persistent hypotension with a systolic blood pressure less than 90</w:t>
      </w:r>
      <w:r w:rsidR="00980D33">
        <w:rPr>
          <w:rFonts w:ascii="Times New Roman" w:hAnsi="Times New Roman"/>
          <w:sz w:val="23"/>
        </w:rPr>
        <w:t xml:space="preserve"> mmhg</w:t>
      </w:r>
      <w:r w:rsidRPr="00C30FC8">
        <w:rPr>
          <w:rFonts w:ascii="Times New Roman" w:hAnsi="Times New Roman"/>
          <w:sz w:val="23"/>
        </w:rPr>
        <w:t>, activation of the massive transfusion protocol, or a direct to operating room or interventional radiology per provider discretion. Charts were reviewed randomly of 126 patients who met criteria for the adminstration of TXA and either did receive or did not receive TXA and the outcomes were</w:t>
      </w:r>
      <w:r w:rsidR="00980D33">
        <w:rPr>
          <w:rFonts w:ascii="Times New Roman" w:hAnsi="Times New Roman"/>
          <w:sz w:val="23"/>
        </w:rPr>
        <w:t xml:space="preserve"> compared. A</w:t>
      </w:r>
      <w:r w:rsidRPr="00C30FC8">
        <w:rPr>
          <w:rFonts w:ascii="Times New Roman" w:hAnsi="Times New Roman"/>
          <w:sz w:val="23"/>
        </w:rPr>
        <w:t xml:space="preserve">ll patients reviewed did receive TXA within three hours of injury. The outcomes that were assessed in this study were </w:t>
      </w:r>
      <w:r w:rsidRPr="00C30FC8">
        <w:rPr>
          <w:rFonts w:ascii="Times New Roman" w:hAnsi="Times New Roman"/>
          <w:sz w:val="23"/>
          <w:szCs w:val="18"/>
        </w:rPr>
        <w:t xml:space="preserve">death within 24 hours of traumatic injury, death at some point during hospitalization as a result of bleeding, the development of thrombotic complications including DVT, PE, myocardial infarction (MI), </w:t>
      </w:r>
      <w:r w:rsidR="00980D33">
        <w:rPr>
          <w:rFonts w:ascii="Times New Roman" w:hAnsi="Times New Roman"/>
          <w:sz w:val="23"/>
          <w:szCs w:val="18"/>
        </w:rPr>
        <w:t>CVA</w:t>
      </w:r>
      <w:r w:rsidRPr="00C30FC8">
        <w:rPr>
          <w:rFonts w:ascii="Times New Roman" w:hAnsi="Times New Roman"/>
          <w:sz w:val="23"/>
          <w:szCs w:val="18"/>
        </w:rPr>
        <w:t xml:space="preserve">, </w:t>
      </w:r>
      <w:r w:rsidR="00980D33">
        <w:rPr>
          <w:rFonts w:ascii="Times New Roman" w:hAnsi="Times New Roman"/>
          <w:sz w:val="23"/>
          <w:szCs w:val="18"/>
        </w:rPr>
        <w:t>and/</w:t>
      </w:r>
      <w:r w:rsidRPr="00C30FC8">
        <w:rPr>
          <w:rFonts w:ascii="Times New Roman" w:hAnsi="Times New Roman"/>
          <w:sz w:val="23"/>
          <w:szCs w:val="18"/>
        </w:rPr>
        <w:t xml:space="preserve">or acute kidney injury (AKI). Results based on the Chi-Square method were noted to be similar to previous studies including the MATTERS and CRASH-2 trial. Of the total 126 patients </w:t>
      </w:r>
      <w:r w:rsidRPr="00C30FC8">
        <w:rPr>
          <w:rFonts w:ascii="Times New Roman" w:hAnsi="Times New Roman"/>
          <w:sz w:val="23"/>
          <w:szCs w:val="18"/>
        </w:rPr>
        <w:lastRenderedPageBreak/>
        <w:t>assessed in this study, 74 did not received TXA and 52 received TXA. When comparing the no TXA group to the TXA group the results revealed a higher rate of death within 24 hours of injury for the no TXA group (17.6% versus 5.8%), death prior to discharge</w:t>
      </w:r>
      <w:r w:rsidR="00980D33">
        <w:rPr>
          <w:rFonts w:ascii="Times New Roman" w:hAnsi="Times New Roman"/>
          <w:sz w:val="23"/>
          <w:szCs w:val="18"/>
        </w:rPr>
        <w:t xml:space="preserve"> out of the inpatient setting</w:t>
      </w:r>
      <w:r w:rsidRPr="00C30FC8">
        <w:rPr>
          <w:rFonts w:ascii="Times New Roman" w:hAnsi="Times New Roman"/>
          <w:sz w:val="23"/>
          <w:szCs w:val="18"/>
        </w:rPr>
        <w:t xml:space="preserve"> (23% versus 17.3%), MI (2.7% versus 0%), stroke (0% versus 3.19%), DVT (0% versus 11.5%), and AKI (8% versus 13%). The limitations of this study were the small sample size and the differing levels of traumatic injury</w:t>
      </w:r>
      <w:r w:rsidR="00980D33">
        <w:rPr>
          <w:rFonts w:ascii="Times New Roman" w:hAnsi="Times New Roman"/>
          <w:sz w:val="23"/>
          <w:szCs w:val="18"/>
        </w:rPr>
        <w:t>, as some were noted to be more severe than others</w:t>
      </w:r>
      <w:r w:rsidRPr="00C30FC8">
        <w:rPr>
          <w:rFonts w:ascii="Times New Roman" w:hAnsi="Times New Roman"/>
          <w:sz w:val="23"/>
          <w:szCs w:val="18"/>
        </w:rPr>
        <w:t xml:space="preserve">. The findings of this study were that the adminstration of TXA does decrease overall mortality in relation to bleeding. This study differed from the large studies previously completed on TXA adminstration as this study demonstrated an increase in thrombotic events, even though TXA was administered within the recommended three-hour window. The authors report this finding to remain unclear and should warrant additional </w:t>
      </w:r>
      <w:r w:rsidR="00980D33" w:rsidRPr="00C30FC8">
        <w:rPr>
          <w:rFonts w:ascii="Times New Roman" w:hAnsi="Times New Roman"/>
          <w:sz w:val="23"/>
          <w:szCs w:val="18"/>
        </w:rPr>
        <w:t>evaluation;</w:t>
      </w:r>
      <w:r w:rsidRPr="00C30FC8">
        <w:rPr>
          <w:rFonts w:ascii="Times New Roman" w:hAnsi="Times New Roman"/>
          <w:sz w:val="23"/>
          <w:szCs w:val="18"/>
        </w:rPr>
        <w:t xml:space="preserve"> however, </w:t>
      </w:r>
      <w:r w:rsidR="00980D33">
        <w:rPr>
          <w:rFonts w:ascii="Times New Roman" w:hAnsi="Times New Roman"/>
          <w:sz w:val="23"/>
          <w:szCs w:val="18"/>
        </w:rPr>
        <w:t xml:space="preserve">these results </w:t>
      </w:r>
      <w:r w:rsidRPr="00C30FC8">
        <w:rPr>
          <w:rFonts w:ascii="Times New Roman" w:hAnsi="Times New Roman"/>
          <w:sz w:val="23"/>
          <w:szCs w:val="18"/>
        </w:rPr>
        <w:t>should not delay the use of TXA as the benefits far outweigh the risks involved. Based on this study and the results of the other major studies on TXA</w:t>
      </w:r>
      <w:r w:rsidR="00524BB5">
        <w:rPr>
          <w:rFonts w:ascii="Times New Roman" w:hAnsi="Times New Roman"/>
          <w:sz w:val="23"/>
          <w:szCs w:val="18"/>
        </w:rPr>
        <w:t>,</w:t>
      </w:r>
      <w:r w:rsidRPr="00C30FC8">
        <w:rPr>
          <w:rFonts w:ascii="Times New Roman" w:hAnsi="Times New Roman"/>
          <w:sz w:val="23"/>
          <w:szCs w:val="18"/>
        </w:rPr>
        <w:t xml:space="preserve"> a guideline was developed and utilized in this trauma center for the use of TXA. </w:t>
      </w:r>
    </w:p>
    <w:p w:rsidR="00947DDA" w:rsidRPr="00C30FC8" w:rsidRDefault="00947DDA" w:rsidP="00947DDA">
      <w:pPr>
        <w:spacing w:line="480" w:lineRule="auto"/>
        <w:jc w:val="both"/>
        <w:rPr>
          <w:rFonts w:ascii="Times New Roman" w:hAnsi="Times New Roman"/>
          <w:b/>
          <w:sz w:val="23"/>
        </w:rPr>
      </w:pPr>
      <w:r w:rsidRPr="00C30FC8">
        <w:rPr>
          <w:rFonts w:ascii="Times New Roman" w:hAnsi="Times New Roman"/>
          <w:b/>
          <w:sz w:val="23"/>
        </w:rPr>
        <w:t xml:space="preserve">Summary Statements </w:t>
      </w:r>
    </w:p>
    <w:p w:rsidR="00947DDA" w:rsidRPr="00C30FC8" w:rsidRDefault="00947DDA" w:rsidP="00947DDA">
      <w:pPr>
        <w:spacing w:line="480" w:lineRule="auto"/>
        <w:jc w:val="both"/>
        <w:rPr>
          <w:rFonts w:ascii="Times New Roman" w:hAnsi="Times New Roman"/>
          <w:sz w:val="23"/>
        </w:rPr>
      </w:pPr>
      <w:r w:rsidRPr="00C30FC8">
        <w:rPr>
          <w:rFonts w:ascii="Times New Roman" w:hAnsi="Times New Roman"/>
          <w:b/>
          <w:sz w:val="23"/>
        </w:rPr>
        <w:tab/>
      </w:r>
      <w:r w:rsidRPr="00C30FC8">
        <w:rPr>
          <w:rFonts w:ascii="Times New Roman" w:hAnsi="Times New Roman"/>
          <w:sz w:val="23"/>
        </w:rPr>
        <w:t xml:space="preserve">There is significant evidence to support the use of TXA in trauma centers for patients who are at risk of bleeding and death from hemorrhage as a result of trauma in the acute care setting. TXA use has been shown in major studies to decrease overall mortality with no real risk of further injury as a result of the antifibrinolytic medication. The issue remains the ability to administer TXA in a timely manner in order to obtain the best overall effect of the drug. </w:t>
      </w:r>
      <w:r w:rsidR="0040226D">
        <w:rPr>
          <w:rFonts w:ascii="Times New Roman" w:hAnsi="Times New Roman"/>
          <w:sz w:val="23"/>
        </w:rPr>
        <w:t>As previously stated r</w:t>
      </w:r>
      <w:r w:rsidRPr="00C30FC8">
        <w:rPr>
          <w:rFonts w:ascii="Times New Roman" w:hAnsi="Times New Roman"/>
          <w:sz w:val="23"/>
        </w:rPr>
        <w:t>esearch has provided data which supports the use of TXA within a three hour window, however, the best results for decreasing bleeding deaths was shown to be within one hour from time of traumatic injury (</w:t>
      </w:r>
      <w:r w:rsidRPr="00C30FC8">
        <w:rPr>
          <w:rFonts w:ascii="Times New Roman" w:hAnsi="Times New Roman" w:cs="Arial"/>
          <w:sz w:val="23"/>
          <w:szCs w:val="26"/>
        </w:rPr>
        <w:t>Morrison, Dubo</w:t>
      </w:r>
      <w:r w:rsidR="003879B5">
        <w:rPr>
          <w:rFonts w:ascii="Times New Roman" w:hAnsi="Times New Roman" w:cs="Arial"/>
          <w:sz w:val="23"/>
          <w:szCs w:val="26"/>
        </w:rPr>
        <w:t>se, Rasmussen, &amp; Midwinter, 2012</w:t>
      </w:r>
      <w:r w:rsidRPr="00C30FC8">
        <w:rPr>
          <w:rFonts w:ascii="Times New Roman" w:hAnsi="Times New Roman"/>
          <w:sz w:val="23"/>
        </w:rPr>
        <w:t xml:space="preserve">; </w:t>
      </w:r>
      <w:r w:rsidR="003879B5">
        <w:rPr>
          <w:rFonts w:ascii="Times New Roman" w:hAnsi="Times New Roman" w:cs="Arial"/>
          <w:sz w:val="23"/>
          <w:szCs w:val="26"/>
        </w:rPr>
        <w:t>Shakur et</w:t>
      </w:r>
      <w:r w:rsidRPr="00C30FC8">
        <w:rPr>
          <w:rFonts w:ascii="Times New Roman" w:hAnsi="Times New Roman" w:cs="Arial"/>
          <w:sz w:val="23"/>
          <w:szCs w:val="26"/>
        </w:rPr>
        <w:t xml:space="preserve"> al., </w:t>
      </w:r>
      <w:r w:rsidRPr="00D747D5">
        <w:rPr>
          <w:rFonts w:ascii="Times New Roman" w:hAnsi="Times New Roman" w:cs="Times New Roman"/>
          <w:sz w:val="23"/>
          <w:szCs w:val="23"/>
        </w:rPr>
        <w:t>2010</w:t>
      </w:r>
      <w:r w:rsidR="00D747D5" w:rsidRPr="00D747D5">
        <w:rPr>
          <w:rFonts w:ascii="Times New Roman" w:hAnsi="Times New Roman" w:cs="Times New Roman"/>
          <w:sz w:val="23"/>
          <w:szCs w:val="23"/>
        </w:rPr>
        <w:t xml:space="preserve">; </w:t>
      </w:r>
      <w:r w:rsidR="00D747D5" w:rsidRPr="00D747D5">
        <w:rPr>
          <w:rFonts w:ascii="Times New Roman" w:hAnsi="Times New Roman" w:cs="Times New Roman"/>
          <w:noProof/>
          <w:sz w:val="23"/>
          <w:szCs w:val="23"/>
        </w:rPr>
        <w:t>Swendsen, Galante , Utter, Bateni, Scherer, &amp; Schermer, 2013</w:t>
      </w:r>
      <w:r w:rsidR="00D747D5" w:rsidRPr="00D747D5">
        <w:rPr>
          <w:rFonts w:ascii="Times New Roman" w:hAnsi="Times New Roman" w:cs="Times New Roman"/>
          <w:noProof/>
          <w:sz w:val="23"/>
          <w:szCs w:val="23"/>
        </w:rPr>
        <w:t>).</w:t>
      </w:r>
      <w:r w:rsidR="00D747D5">
        <w:rPr>
          <w:noProof/>
        </w:rPr>
        <w:t xml:space="preserve"> </w:t>
      </w:r>
    </w:p>
    <w:p w:rsidR="00947DDA" w:rsidRPr="00C30FC8" w:rsidRDefault="00947DDA" w:rsidP="0040226D">
      <w:pPr>
        <w:spacing w:line="480" w:lineRule="auto"/>
        <w:ind w:firstLine="720"/>
        <w:jc w:val="both"/>
        <w:rPr>
          <w:rFonts w:ascii="Times New Roman" w:hAnsi="Times New Roman"/>
          <w:sz w:val="23"/>
        </w:rPr>
      </w:pPr>
      <w:r>
        <w:rPr>
          <w:rFonts w:ascii="Times New Roman" w:hAnsi="Times New Roman"/>
          <w:sz w:val="23"/>
        </w:rPr>
        <w:lastRenderedPageBreak/>
        <w:t>Established e</w:t>
      </w:r>
      <w:r w:rsidRPr="00C30FC8">
        <w:rPr>
          <w:rFonts w:ascii="Times New Roman" w:hAnsi="Times New Roman"/>
          <w:sz w:val="23"/>
        </w:rPr>
        <w:t>vidence has shown the best results of TXA is</w:t>
      </w:r>
      <w:r w:rsidR="00BE5713">
        <w:rPr>
          <w:rFonts w:ascii="Times New Roman" w:hAnsi="Times New Roman"/>
          <w:sz w:val="23"/>
        </w:rPr>
        <w:t xml:space="preserve"> noted</w:t>
      </w:r>
      <w:r w:rsidRPr="00C30FC8">
        <w:rPr>
          <w:rFonts w:ascii="Times New Roman" w:hAnsi="Times New Roman"/>
          <w:sz w:val="23"/>
        </w:rPr>
        <w:t xml:space="preserve"> when administered within one of injur</w:t>
      </w:r>
      <w:r w:rsidR="00BE5713">
        <w:rPr>
          <w:rFonts w:ascii="Times New Roman" w:hAnsi="Times New Roman"/>
          <w:sz w:val="23"/>
        </w:rPr>
        <w:t>y,</w:t>
      </w:r>
      <w:r w:rsidRPr="00C30FC8">
        <w:rPr>
          <w:rFonts w:ascii="Times New Roman" w:hAnsi="Times New Roman"/>
          <w:sz w:val="23"/>
        </w:rPr>
        <w:t xml:space="preserve"> there</w:t>
      </w:r>
      <w:r w:rsidR="00BE5713">
        <w:rPr>
          <w:rFonts w:ascii="Times New Roman" w:hAnsi="Times New Roman"/>
          <w:sz w:val="23"/>
        </w:rPr>
        <w:t>fore there is</w:t>
      </w:r>
      <w:r w:rsidRPr="00C30FC8">
        <w:rPr>
          <w:rFonts w:ascii="Times New Roman" w:hAnsi="Times New Roman"/>
          <w:sz w:val="23"/>
        </w:rPr>
        <w:t xml:space="preserve"> strong evidence to support the development of a protocol allowing pre-hospital personnel the ability to provide patients who meet criteria</w:t>
      </w:r>
      <w:r w:rsidR="00BE5713">
        <w:rPr>
          <w:rFonts w:ascii="Times New Roman" w:hAnsi="Times New Roman"/>
          <w:sz w:val="23"/>
        </w:rPr>
        <w:t xml:space="preserve"> the antifibrinolytic,</w:t>
      </w:r>
      <w:r w:rsidRPr="00C30FC8">
        <w:rPr>
          <w:rFonts w:ascii="Times New Roman" w:hAnsi="Times New Roman"/>
          <w:sz w:val="23"/>
        </w:rPr>
        <w:t xml:space="preserve"> TXA. This would allow the pati</w:t>
      </w:r>
      <w:r w:rsidR="0040226D">
        <w:rPr>
          <w:rFonts w:ascii="Times New Roman" w:hAnsi="Times New Roman"/>
          <w:sz w:val="23"/>
        </w:rPr>
        <w:t>ent the best chance of survival</w:t>
      </w:r>
      <w:r w:rsidRPr="00C30FC8">
        <w:rPr>
          <w:rFonts w:ascii="Times New Roman" w:hAnsi="Times New Roman"/>
          <w:sz w:val="23"/>
        </w:rPr>
        <w:t xml:space="preserve"> so</w:t>
      </w:r>
      <w:r w:rsidR="0040226D">
        <w:rPr>
          <w:rFonts w:ascii="Times New Roman" w:hAnsi="Times New Roman"/>
          <w:sz w:val="23"/>
        </w:rPr>
        <w:t xml:space="preserve"> that when a</w:t>
      </w:r>
      <w:r w:rsidRPr="00C30FC8">
        <w:rPr>
          <w:rFonts w:ascii="Times New Roman" w:hAnsi="Times New Roman"/>
          <w:sz w:val="23"/>
        </w:rPr>
        <w:t xml:space="preserve"> patient reaches the acute care setting</w:t>
      </w:r>
      <w:r w:rsidR="0040226D">
        <w:rPr>
          <w:rFonts w:ascii="Times New Roman" w:hAnsi="Times New Roman"/>
          <w:sz w:val="23"/>
        </w:rPr>
        <w:t xml:space="preserve"> the one gram</w:t>
      </w:r>
      <w:r w:rsidR="00AB592A">
        <w:rPr>
          <w:rFonts w:ascii="Times New Roman" w:hAnsi="Times New Roman"/>
          <w:sz w:val="23"/>
        </w:rPr>
        <w:t xml:space="preserve"> of intravenous TXA</w:t>
      </w:r>
      <w:r w:rsidR="0040226D">
        <w:rPr>
          <w:rFonts w:ascii="Times New Roman" w:hAnsi="Times New Roman"/>
          <w:sz w:val="23"/>
        </w:rPr>
        <w:t xml:space="preserve"> </w:t>
      </w:r>
      <w:r w:rsidR="00AB592A">
        <w:rPr>
          <w:rFonts w:ascii="Times New Roman" w:hAnsi="Times New Roman"/>
          <w:sz w:val="23"/>
        </w:rPr>
        <w:t xml:space="preserve">bolus </w:t>
      </w:r>
      <w:r w:rsidRPr="00C30FC8">
        <w:rPr>
          <w:rFonts w:ascii="Times New Roman" w:hAnsi="Times New Roman"/>
          <w:sz w:val="23"/>
        </w:rPr>
        <w:t>has already been administered and the trauma team, including physicians and advanced practice nurses, can be ahead of the bleeding and likely decrease the risk of death related to hemorrhage, especially in those elderly patients at even higher risk of developing ACOT.</w:t>
      </w:r>
      <w:r w:rsidR="0040226D">
        <w:rPr>
          <w:rFonts w:ascii="Times New Roman" w:hAnsi="Times New Roman"/>
          <w:sz w:val="23"/>
        </w:rPr>
        <w:t xml:space="preserve"> Once the patient then arrives t</w:t>
      </w:r>
      <w:r w:rsidR="00524BB5">
        <w:rPr>
          <w:rFonts w:ascii="Times New Roman" w:hAnsi="Times New Roman"/>
          <w:sz w:val="23"/>
        </w:rPr>
        <w:t>o the acute care hospital the continuous infusion</w:t>
      </w:r>
      <w:r w:rsidR="0040226D">
        <w:rPr>
          <w:rFonts w:ascii="Times New Roman" w:hAnsi="Times New Roman"/>
          <w:sz w:val="23"/>
        </w:rPr>
        <w:t xml:space="preserve"> of TXA can be started.</w:t>
      </w:r>
      <w:r w:rsidR="00524BB5">
        <w:rPr>
          <w:rFonts w:ascii="Times New Roman" w:hAnsi="Times New Roman"/>
          <w:sz w:val="23"/>
        </w:rPr>
        <w:t xml:space="preserve"> There are occasions in which a patient could be</w:t>
      </w:r>
      <w:r w:rsidRPr="00C30FC8">
        <w:rPr>
          <w:rFonts w:ascii="Times New Roman" w:hAnsi="Times New Roman"/>
          <w:sz w:val="23"/>
        </w:rPr>
        <w:t xml:space="preserve"> injured in a rural area, or </w:t>
      </w:r>
      <w:r w:rsidR="00524BB5">
        <w:rPr>
          <w:rFonts w:ascii="Times New Roman" w:hAnsi="Times New Roman"/>
          <w:sz w:val="23"/>
        </w:rPr>
        <w:t>be subject to a long extrication at</w:t>
      </w:r>
      <w:r w:rsidRPr="00C30FC8">
        <w:rPr>
          <w:rFonts w:ascii="Times New Roman" w:hAnsi="Times New Roman"/>
          <w:sz w:val="23"/>
        </w:rPr>
        <w:t xml:space="preserve"> the scene of an accident </w:t>
      </w:r>
      <w:r w:rsidR="00524BB5">
        <w:rPr>
          <w:rFonts w:ascii="Times New Roman" w:hAnsi="Times New Roman"/>
          <w:sz w:val="23"/>
        </w:rPr>
        <w:t xml:space="preserve">resulting in delayed transfer to a </w:t>
      </w:r>
      <w:r w:rsidRPr="00C30FC8">
        <w:rPr>
          <w:rFonts w:ascii="Times New Roman" w:hAnsi="Times New Roman"/>
          <w:sz w:val="23"/>
        </w:rPr>
        <w:t xml:space="preserve">trauma center </w:t>
      </w:r>
      <w:r w:rsidR="00524BB5">
        <w:rPr>
          <w:rFonts w:ascii="Times New Roman" w:hAnsi="Times New Roman"/>
          <w:sz w:val="23"/>
        </w:rPr>
        <w:t>of an hour or more, g</w:t>
      </w:r>
      <w:r w:rsidRPr="00C30FC8">
        <w:rPr>
          <w:rFonts w:ascii="Times New Roman" w:hAnsi="Times New Roman"/>
          <w:sz w:val="23"/>
        </w:rPr>
        <w:t>iven these scenar</w:t>
      </w:r>
      <w:r w:rsidR="0040226D">
        <w:rPr>
          <w:rFonts w:ascii="Times New Roman" w:hAnsi="Times New Roman"/>
          <w:sz w:val="23"/>
        </w:rPr>
        <w:t xml:space="preserve">ios </w:t>
      </w:r>
      <w:r w:rsidRPr="00C30FC8">
        <w:rPr>
          <w:rFonts w:ascii="Times New Roman" w:hAnsi="Times New Roman"/>
          <w:sz w:val="23"/>
        </w:rPr>
        <w:t xml:space="preserve">patients injured in traumatic events would best be served if TXA could be administered out in the field when the patient meets criteria for administration. </w:t>
      </w:r>
      <w:r w:rsidR="00524BB5">
        <w:rPr>
          <w:rFonts w:ascii="Times New Roman" w:hAnsi="Times New Roman"/>
          <w:sz w:val="23"/>
        </w:rPr>
        <w:t>Using criteria based on the CRASH-2 trial</w:t>
      </w:r>
      <w:r w:rsidRPr="00C30FC8">
        <w:rPr>
          <w:rFonts w:ascii="Times New Roman" w:hAnsi="Times New Roman"/>
          <w:sz w:val="23"/>
        </w:rPr>
        <w:t xml:space="preserve"> a patient injured in a traumatic incident with a systolic blood pressure less than 90</w:t>
      </w:r>
      <w:r w:rsidR="00980D33">
        <w:rPr>
          <w:rFonts w:ascii="Times New Roman" w:hAnsi="Times New Roman"/>
          <w:sz w:val="23"/>
        </w:rPr>
        <w:t xml:space="preserve"> mmhg</w:t>
      </w:r>
      <w:r w:rsidRPr="00C30FC8">
        <w:rPr>
          <w:rFonts w:ascii="Times New Roman" w:hAnsi="Times New Roman"/>
          <w:sz w:val="23"/>
        </w:rPr>
        <w:t xml:space="preserve"> or a heart rate greater than 110 beats per minute, or both</w:t>
      </w:r>
      <w:r w:rsidR="00AB592A">
        <w:rPr>
          <w:rFonts w:ascii="Times New Roman" w:hAnsi="Times New Roman"/>
          <w:sz w:val="23"/>
        </w:rPr>
        <w:t>,</w:t>
      </w:r>
      <w:r w:rsidRPr="00C30FC8">
        <w:rPr>
          <w:rFonts w:ascii="Times New Roman" w:hAnsi="Times New Roman"/>
          <w:sz w:val="23"/>
        </w:rPr>
        <w:t xml:space="preserve"> would be a </w:t>
      </w:r>
      <w:r w:rsidR="00AB592A">
        <w:rPr>
          <w:rFonts w:ascii="Times New Roman" w:hAnsi="Times New Roman"/>
          <w:sz w:val="23"/>
        </w:rPr>
        <w:t>worthy</w:t>
      </w:r>
      <w:r w:rsidR="00AB592A" w:rsidRPr="00C30FC8">
        <w:rPr>
          <w:rFonts w:ascii="Times New Roman" w:hAnsi="Times New Roman"/>
          <w:sz w:val="23"/>
        </w:rPr>
        <w:t xml:space="preserve"> </w:t>
      </w:r>
      <w:r w:rsidRPr="00C30FC8">
        <w:rPr>
          <w:rFonts w:ascii="Times New Roman" w:hAnsi="Times New Roman"/>
          <w:sz w:val="23"/>
        </w:rPr>
        <w:t>initial start</w:t>
      </w:r>
      <w:r w:rsidR="00AB592A">
        <w:rPr>
          <w:rFonts w:ascii="Times New Roman" w:hAnsi="Times New Roman"/>
          <w:sz w:val="23"/>
        </w:rPr>
        <w:t>ing point</w:t>
      </w:r>
      <w:r w:rsidRPr="00C30FC8">
        <w:rPr>
          <w:rFonts w:ascii="Times New Roman" w:hAnsi="Times New Roman"/>
          <w:sz w:val="23"/>
        </w:rPr>
        <w:t xml:space="preserve"> when developing a protocol for TXA administration (</w:t>
      </w:r>
      <w:r w:rsidR="003879B5">
        <w:rPr>
          <w:rFonts w:ascii="Times New Roman" w:hAnsi="Times New Roman" w:cs="Arial"/>
          <w:sz w:val="23"/>
          <w:szCs w:val="26"/>
        </w:rPr>
        <w:t>Shakur et</w:t>
      </w:r>
      <w:r w:rsidRPr="00C30FC8">
        <w:rPr>
          <w:rFonts w:ascii="Times New Roman" w:hAnsi="Times New Roman" w:cs="Arial"/>
          <w:sz w:val="23"/>
          <w:szCs w:val="26"/>
        </w:rPr>
        <w:t xml:space="preserve"> al., 2010)</w:t>
      </w:r>
      <w:r w:rsidRPr="00C30FC8">
        <w:rPr>
          <w:rFonts w:ascii="Times New Roman" w:hAnsi="Times New Roman"/>
          <w:sz w:val="23"/>
        </w:rPr>
        <w:t xml:space="preserve">. </w:t>
      </w:r>
    </w:p>
    <w:p w:rsidR="00947DDA" w:rsidRDefault="00947DDA" w:rsidP="00947DDA">
      <w:pPr>
        <w:spacing w:line="480" w:lineRule="auto"/>
        <w:jc w:val="both"/>
        <w:rPr>
          <w:rFonts w:ascii="Times New Roman" w:hAnsi="Times New Roman"/>
          <w:sz w:val="23"/>
        </w:rPr>
      </w:pPr>
      <w:r w:rsidRPr="00C30FC8">
        <w:rPr>
          <w:rFonts w:ascii="Times New Roman" w:hAnsi="Times New Roman"/>
          <w:sz w:val="23"/>
        </w:rPr>
        <w:tab/>
      </w:r>
      <w:r w:rsidR="0040226D">
        <w:rPr>
          <w:rFonts w:ascii="Times New Roman" w:hAnsi="Times New Roman"/>
          <w:sz w:val="23"/>
        </w:rPr>
        <w:t xml:space="preserve">Data from the two largest studies looking at the use of TXA in the trauma population </w:t>
      </w:r>
      <w:r w:rsidRPr="00C30FC8">
        <w:rPr>
          <w:rFonts w:ascii="Times New Roman" w:hAnsi="Times New Roman"/>
          <w:sz w:val="23"/>
        </w:rPr>
        <w:t>supports the use in the pre-hospital settings if the patient is at risk of hemorrhage as a result of traumatic injury given the high incidence of patients with ACOT despite having no testing giving a</w:t>
      </w:r>
      <w:r w:rsidR="003879B5">
        <w:rPr>
          <w:rFonts w:ascii="Times New Roman" w:hAnsi="Times New Roman"/>
          <w:sz w:val="23"/>
        </w:rPr>
        <w:t xml:space="preserve"> definitive diagnosis (Spahn et</w:t>
      </w:r>
      <w:r w:rsidRPr="00C30FC8">
        <w:rPr>
          <w:rFonts w:ascii="Times New Roman" w:hAnsi="Times New Roman"/>
          <w:sz w:val="23"/>
        </w:rPr>
        <w:t xml:space="preserve"> al., 2013).</w:t>
      </w:r>
      <w:r w:rsidR="0040226D">
        <w:rPr>
          <w:rFonts w:ascii="Times New Roman" w:hAnsi="Times New Roman"/>
          <w:sz w:val="23"/>
        </w:rPr>
        <w:t xml:space="preserve"> TXA is currently a class one recommendation</w:t>
      </w:r>
      <w:r w:rsidR="00AB592A">
        <w:rPr>
          <w:rFonts w:ascii="Times New Roman" w:hAnsi="Times New Roman"/>
          <w:sz w:val="23"/>
        </w:rPr>
        <w:t xml:space="preserve"> with its use our</w:t>
      </w:r>
      <w:r w:rsidR="0040226D">
        <w:rPr>
          <w:rFonts w:ascii="Times New Roman" w:hAnsi="Times New Roman"/>
          <w:sz w:val="23"/>
        </w:rPr>
        <w:t xml:space="preserve"> </w:t>
      </w:r>
      <w:r w:rsidR="00AB592A">
        <w:rPr>
          <w:rFonts w:ascii="Times New Roman" w:hAnsi="Times New Roman"/>
          <w:sz w:val="23"/>
        </w:rPr>
        <w:t>US</w:t>
      </w:r>
      <w:r w:rsidR="0040226D">
        <w:rPr>
          <w:rFonts w:ascii="Times New Roman" w:hAnsi="Times New Roman"/>
          <w:sz w:val="23"/>
        </w:rPr>
        <w:t xml:space="preserve"> Military according to their Tactical Combat Causality Care guidelines. Additionally, </w:t>
      </w:r>
      <w:r w:rsidRPr="00C30FC8">
        <w:rPr>
          <w:rFonts w:ascii="Times New Roman" w:hAnsi="Times New Roman"/>
          <w:sz w:val="23"/>
        </w:rPr>
        <w:t>the European guideline for the management of coagulopathy and bleeding following maj</w:t>
      </w:r>
      <w:r w:rsidR="0040226D">
        <w:rPr>
          <w:rFonts w:ascii="Times New Roman" w:hAnsi="Times New Roman"/>
          <w:sz w:val="23"/>
        </w:rPr>
        <w:t xml:space="preserve">or trauma (2013) recommends </w:t>
      </w:r>
      <w:r w:rsidRPr="00C30FC8">
        <w:rPr>
          <w:rFonts w:ascii="Times New Roman" w:hAnsi="Times New Roman"/>
          <w:sz w:val="23"/>
        </w:rPr>
        <w:t xml:space="preserve">the use of TXA in the pre-hospital setting and </w:t>
      </w:r>
      <w:r w:rsidR="0040226D">
        <w:rPr>
          <w:rFonts w:ascii="Times New Roman" w:hAnsi="Times New Roman"/>
          <w:sz w:val="23"/>
        </w:rPr>
        <w:t xml:space="preserve">suggests </w:t>
      </w:r>
      <w:r w:rsidRPr="00C30FC8">
        <w:rPr>
          <w:rFonts w:ascii="Times New Roman" w:hAnsi="Times New Roman"/>
          <w:sz w:val="23"/>
        </w:rPr>
        <w:t xml:space="preserve">research be aimed in this direction to assess the use in this setting on patient mortality due to bleeding. These recommendations are based upon the results of </w:t>
      </w:r>
      <w:r w:rsidR="00524BB5">
        <w:rPr>
          <w:rFonts w:ascii="Times New Roman" w:hAnsi="Times New Roman"/>
          <w:sz w:val="23"/>
        </w:rPr>
        <w:t>the two large studies completed:</w:t>
      </w:r>
      <w:r w:rsidRPr="00C30FC8">
        <w:rPr>
          <w:rFonts w:ascii="Times New Roman" w:hAnsi="Times New Roman"/>
          <w:sz w:val="23"/>
        </w:rPr>
        <w:t xml:space="preserve"> the MATTERS trial </w:t>
      </w:r>
      <w:r w:rsidR="00880078">
        <w:rPr>
          <w:rFonts w:ascii="Times New Roman" w:hAnsi="Times New Roman"/>
          <w:sz w:val="23"/>
        </w:rPr>
        <w:lastRenderedPageBreak/>
        <w:t>and the CRASH-2 trial.</w:t>
      </w:r>
      <w:r w:rsidRPr="00C30FC8">
        <w:rPr>
          <w:rFonts w:ascii="Times New Roman" w:hAnsi="Times New Roman"/>
          <w:sz w:val="23"/>
        </w:rPr>
        <w:t xml:space="preserve"> </w:t>
      </w:r>
      <w:r w:rsidR="00880078" w:rsidRPr="00C30FC8">
        <w:rPr>
          <w:rFonts w:ascii="Times New Roman" w:hAnsi="Times New Roman"/>
          <w:sz w:val="23"/>
        </w:rPr>
        <w:t>However</w:t>
      </w:r>
      <w:r w:rsidRPr="00C30FC8">
        <w:rPr>
          <w:rFonts w:ascii="Times New Roman" w:hAnsi="Times New Roman"/>
          <w:sz w:val="23"/>
        </w:rPr>
        <w:t xml:space="preserve">, there </w:t>
      </w:r>
      <w:r w:rsidR="00880078" w:rsidRPr="00C30FC8">
        <w:rPr>
          <w:rFonts w:ascii="Times New Roman" w:hAnsi="Times New Roman"/>
          <w:sz w:val="23"/>
        </w:rPr>
        <w:t>have been no true studies</w:t>
      </w:r>
      <w:r w:rsidRPr="00C30FC8">
        <w:rPr>
          <w:rFonts w:ascii="Times New Roman" w:hAnsi="Times New Roman"/>
          <w:sz w:val="23"/>
        </w:rPr>
        <w:t xml:space="preserve"> evaluating the actual adminstration in the pre-hospital setting</w:t>
      </w:r>
      <w:r w:rsidR="00AB592A">
        <w:rPr>
          <w:rFonts w:ascii="Times New Roman" w:hAnsi="Times New Roman"/>
          <w:sz w:val="23"/>
        </w:rPr>
        <w:t xml:space="preserve"> outside of military combat</w:t>
      </w:r>
      <w:r w:rsidRPr="00C30FC8">
        <w:rPr>
          <w:rFonts w:ascii="Times New Roman" w:hAnsi="Times New Roman"/>
          <w:sz w:val="23"/>
        </w:rPr>
        <w:t>. There is a need for studies with a focus on the adminstration of TXA by personnel in the pre-hospital setting in order to further evaluate whether there is indeed a benefit in order to extend positive outcomes to those individuals who may not be able to make the time constraint of one hour. Advanced practice nurses, especially the</w:t>
      </w:r>
      <w:r w:rsidR="00AB592A">
        <w:rPr>
          <w:rFonts w:ascii="Times New Roman" w:hAnsi="Times New Roman"/>
          <w:sz w:val="23"/>
        </w:rPr>
        <w:t xml:space="preserve"> AG-ACNP</w:t>
      </w:r>
      <w:r w:rsidR="0040226D">
        <w:rPr>
          <w:rFonts w:ascii="Times New Roman" w:hAnsi="Times New Roman"/>
          <w:sz w:val="23"/>
        </w:rPr>
        <w:t xml:space="preserve"> who has experience working with trauma patients and the use of TXA</w:t>
      </w:r>
      <w:r w:rsidR="00AB592A">
        <w:rPr>
          <w:rFonts w:ascii="Times New Roman" w:hAnsi="Times New Roman"/>
          <w:sz w:val="23"/>
        </w:rPr>
        <w:t>,</w:t>
      </w:r>
      <w:r w:rsidRPr="00C30FC8">
        <w:rPr>
          <w:rFonts w:ascii="Times New Roman" w:hAnsi="Times New Roman"/>
          <w:sz w:val="23"/>
        </w:rPr>
        <w:t xml:space="preserve"> can play a significant role in helping</w:t>
      </w:r>
      <w:r w:rsidR="00AB592A">
        <w:rPr>
          <w:rFonts w:ascii="Times New Roman" w:hAnsi="Times New Roman"/>
          <w:sz w:val="23"/>
        </w:rPr>
        <w:t xml:space="preserve"> a team</w:t>
      </w:r>
      <w:r w:rsidRPr="00C30FC8">
        <w:rPr>
          <w:rFonts w:ascii="Times New Roman" w:hAnsi="Times New Roman"/>
          <w:sz w:val="23"/>
        </w:rPr>
        <w:t xml:space="preserve"> to develop a protocol for the use of TXA in the pre-hospital setting based on best evidence based practice with the goal of improving patient outcomes by decreasing mortality and morbidity related to traumatic ACOT and hemorrhage. </w:t>
      </w:r>
      <w:r w:rsidR="0040226D">
        <w:rPr>
          <w:rFonts w:ascii="Times New Roman" w:hAnsi="Times New Roman"/>
          <w:sz w:val="23"/>
        </w:rPr>
        <w:t xml:space="preserve">Of course there </w:t>
      </w:r>
      <w:r w:rsidR="00AB592A">
        <w:rPr>
          <w:rFonts w:ascii="Times New Roman" w:hAnsi="Times New Roman"/>
          <w:sz w:val="23"/>
        </w:rPr>
        <w:t>are many variables involved when</w:t>
      </w:r>
      <w:r w:rsidR="0040226D">
        <w:rPr>
          <w:rFonts w:ascii="Times New Roman" w:hAnsi="Times New Roman"/>
          <w:sz w:val="23"/>
        </w:rPr>
        <w:t xml:space="preserve"> attempting to get a medication such as TXA into the pre-hospital setting, but given the significance of the data retrieved in the MATTERs and CRASH-2 trial, patients at risk of hemorrhage related to trauma could certainly benefit from the early administration of TXA. Further evaluation and research at the pre-hospital level is definitely warranted and true consideration should be given to take a closer look at this option further. </w:t>
      </w:r>
    </w:p>
    <w:p w:rsidR="00324E1E" w:rsidRDefault="00324E1E" w:rsidP="00947DDA">
      <w:pPr>
        <w:spacing w:line="480" w:lineRule="auto"/>
        <w:jc w:val="both"/>
        <w:rPr>
          <w:rFonts w:ascii="Times New Roman" w:hAnsi="Times New Roman"/>
          <w:sz w:val="23"/>
        </w:rPr>
      </w:pPr>
    </w:p>
    <w:p w:rsidR="00324E1E" w:rsidRDefault="00324E1E" w:rsidP="00947DDA">
      <w:pPr>
        <w:spacing w:line="480" w:lineRule="auto"/>
        <w:jc w:val="both"/>
        <w:rPr>
          <w:rFonts w:ascii="Times New Roman" w:hAnsi="Times New Roman"/>
          <w:sz w:val="23"/>
        </w:rPr>
      </w:pPr>
    </w:p>
    <w:p w:rsidR="003879B5" w:rsidRDefault="003879B5" w:rsidP="00324E1E">
      <w:pPr>
        <w:spacing w:line="480" w:lineRule="auto"/>
        <w:jc w:val="center"/>
        <w:rPr>
          <w:rFonts w:ascii="Times New Roman" w:hAnsi="Times New Roman"/>
          <w:sz w:val="23"/>
        </w:rPr>
      </w:pPr>
    </w:p>
    <w:p w:rsidR="003879B5" w:rsidRDefault="003879B5" w:rsidP="00324E1E">
      <w:pPr>
        <w:spacing w:line="480" w:lineRule="auto"/>
        <w:jc w:val="center"/>
        <w:rPr>
          <w:rFonts w:ascii="Times New Roman" w:hAnsi="Times New Roman"/>
          <w:sz w:val="23"/>
        </w:rPr>
      </w:pPr>
    </w:p>
    <w:p w:rsidR="003879B5" w:rsidRDefault="003879B5" w:rsidP="00324E1E">
      <w:pPr>
        <w:spacing w:line="480" w:lineRule="auto"/>
        <w:jc w:val="center"/>
        <w:rPr>
          <w:rFonts w:ascii="Times New Roman" w:hAnsi="Times New Roman"/>
          <w:sz w:val="23"/>
        </w:rPr>
      </w:pPr>
    </w:p>
    <w:p w:rsidR="003879B5" w:rsidRDefault="003879B5" w:rsidP="00324E1E">
      <w:pPr>
        <w:spacing w:line="480" w:lineRule="auto"/>
        <w:jc w:val="center"/>
        <w:rPr>
          <w:rFonts w:ascii="Times New Roman" w:hAnsi="Times New Roman"/>
          <w:sz w:val="23"/>
        </w:rPr>
      </w:pPr>
    </w:p>
    <w:p w:rsidR="003879B5" w:rsidRDefault="003879B5" w:rsidP="00324E1E">
      <w:pPr>
        <w:spacing w:line="480" w:lineRule="auto"/>
        <w:jc w:val="center"/>
        <w:rPr>
          <w:rFonts w:ascii="Times New Roman" w:hAnsi="Times New Roman"/>
          <w:sz w:val="23"/>
        </w:rPr>
      </w:pPr>
    </w:p>
    <w:p w:rsidR="00D412BD" w:rsidRDefault="00D412BD" w:rsidP="00056419">
      <w:pPr>
        <w:spacing w:line="480" w:lineRule="auto"/>
        <w:jc w:val="center"/>
        <w:rPr>
          <w:rFonts w:ascii="Times New Roman" w:hAnsi="Times New Roman" w:cs="Times New Roman"/>
          <w:sz w:val="23"/>
          <w:szCs w:val="23"/>
        </w:rPr>
      </w:pPr>
    </w:p>
    <w:p w:rsidR="00D412BD" w:rsidRDefault="00D412BD" w:rsidP="00056419">
      <w:pPr>
        <w:spacing w:line="480" w:lineRule="auto"/>
        <w:jc w:val="center"/>
        <w:rPr>
          <w:rFonts w:ascii="Times New Roman" w:hAnsi="Times New Roman" w:cs="Times New Roman"/>
          <w:sz w:val="23"/>
          <w:szCs w:val="23"/>
        </w:rPr>
      </w:pPr>
    </w:p>
    <w:p w:rsidR="00D412BD" w:rsidRDefault="00D412BD" w:rsidP="00056419">
      <w:pPr>
        <w:spacing w:line="480" w:lineRule="auto"/>
        <w:jc w:val="center"/>
        <w:rPr>
          <w:rFonts w:ascii="Times New Roman" w:hAnsi="Times New Roman" w:cs="Times New Roman"/>
          <w:sz w:val="23"/>
          <w:szCs w:val="23"/>
        </w:rPr>
      </w:pPr>
    </w:p>
    <w:p w:rsidR="00D412BD" w:rsidRDefault="00D412BD" w:rsidP="00056419">
      <w:pPr>
        <w:spacing w:line="480" w:lineRule="auto"/>
        <w:jc w:val="center"/>
        <w:rPr>
          <w:rFonts w:ascii="Times New Roman" w:hAnsi="Times New Roman" w:cs="Times New Roman"/>
          <w:sz w:val="23"/>
          <w:szCs w:val="23"/>
        </w:rPr>
      </w:pPr>
    </w:p>
    <w:p w:rsidR="00324E1E" w:rsidRPr="00B331A6" w:rsidRDefault="00324E1E" w:rsidP="00880078">
      <w:pPr>
        <w:spacing w:line="480" w:lineRule="auto"/>
        <w:jc w:val="center"/>
        <w:rPr>
          <w:rFonts w:ascii="Times New Roman" w:hAnsi="Times New Roman" w:cs="Times New Roman"/>
          <w:sz w:val="23"/>
          <w:szCs w:val="23"/>
        </w:rPr>
      </w:pPr>
      <w:bookmarkStart w:id="6" w:name="_GoBack"/>
      <w:bookmarkEnd w:id="6"/>
      <w:r w:rsidRPr="00B331A6">
        <w:rPr>
          <w:rFonts w:ascii="Times New Roman" w:hAnsi="Times New Roman" w:cs="Times New Roman"/>
          <w:sz w:val="23"/>
          <w:szCs w:val="23"/>
        </w:rPr>
        <w:lastRenderedPageBreak/>
        <w:t>References</w:t>
      </w:r>
    </w:p>
    <w:p w:rsidR="00B331A6" w:rsidRPr="00B331A6" w:rsidRDefault="00B331A6" w:rsidP="00B331A6">
      <w:pPr>
        <w:pStyle w:val="Bibliography"/>
        <w:spacing w:line="480" w:lineRule="auto"/>
        <w:ind w:left="720" w:hanging="720"/>
        <w:rPr>
          <w:rFonts w:ascii="Times New Roman" w:hAnsi="Times New Roman" w:cs="Times New Roman"/>
          <w:noProof/>
          <w:sz w:val="23"/>
          <w:szCs w:val="23"/>
        </w:rPr>
      </w:pPr>
      <w:r w:rsidRPr="00B331A6">
        <w:rPr>
          <w:rFonts w:ascii="Times New Roman" w:hAnsi="Times New Roman" w:cs="Times New Roman"/>
          <w:b/>
          <w:sz w:val="23"/>
          <w:szCs w:val="23"/>
        </w:rPr>
        <w:fldChar w:fldCharType="begin"/>
      </w:r>
      <w:r w:rsidRPr="00B331A6">
        <w:rPr>
          <w:rFonts w:ascii="Times New Roman" w:hAnsi="Times New Roman" w:cs="Times New Roman"/>
          <w:b/>
          <w:sz w:val="23"/>
          <w:szCs w:val="23"/>
        </w:rPr>
        <w:instrText xml:space="preserve"> BIBLIOGRAPHY  \l 1033 </w:instrText>
      </w:r>
      <w:r w:rsidRPr="00B331A6">
        <w:rPr>
          <w:rFonts w:ascii="Times New Roman" w:hAnsi="Times New Roman" w:cs="Times New Roman"/>
          <w:b/>
          <w:sz w:val="23"/>
          <w:szCs w:val="23"/>
        </w:rPr>
        <w:fldChar w:fldCharType="separate"/>
      </w:r>
      <w:r w:rsidRPr="00B331A6">
        <w:rPr>
          <w:rFonts w:ascii="Times New Roman" w:hAnsi="Times New Roman" w:cs="Times New Roman"/>
          <w:noProof/>
          <w:sz w:val="23"/>
          <w:szCs w:val="23"/>
        </w:rPr>
        <w:t xml:space="preserve">Brohi, K., Singh, J., Heron, M., &amp; Coats, T. (2003). Acute traumatic coagulopathy. </w:t>
      </w:r>
      <w:r w:rsidRPr="00B331A6">
        <w:rPr>
          <w:rFonts w:ascii="Times New Roman" w:hAnsi="Times New Roman" w:cs="Times New Roman"/>
          <w:i/>
          <w:iCs/>
          <w:noProof/>
          <w:sz w:val="23"/>
          <w:szCs w:val="23"/>
        </w:rPr>
        <w:t>The Journal of Trauma Injury, infection, and Critical Care, 54</w:t>
      </w:r>
      <w:r w:rsidRPr="00B331A6">
        <w:rPr>
          <w:rFonts w:ascii="Times New Roman" w:hAnsi="Times New Roman" w:cs="Times New Roman"/>
          <w:noProof/>
          <w:sz w:val="23"/>
          <w:szCs w:val="23"/>
        </w:rPr>
        <w:t>(1), 1127-1130.</w:t>
      </w:r>
    </w:p>
    <w:p w:rsidR="00B331A6" w:rsidRPr="00B331A6" w:rsidRDefault="00B331A6" w:rsidP="00B331A6">
      <w:pPr>
        <w:pStyle w:val="Bibliography"/>
        <w:spacing w:line="480" w:lineRule="auto"/>
        <w:ind w:left="720" w:hanging="720"/>
        <w:rPr>
          <w:rFonts w:ascii="Times New Roman" w:hAnsi="Times New Roman" w:cs="Times New Roman"/>
          <w:noProof/>
          <w:sz w:val="23"/>
          <w:szCs w:val="23"/>
        </w:rPr>
      </w:pPr>
      <w:r w:rsidRPr="00B331A6">
        <w:rPr>
          <w:rFonts w:ascii="Times New Roman" w:hAnsi="Times New Roman" w:cs="Times New Roman"/>
          <w:noProof/>
          <w:sz w:val="23"/>
          <w:szCs w:val="23"/>
        </w:rPr>
        <w:t xml:space="preserve">Duan, K., Yu, W., &amp; Li, N. (2013). The pathophysiology and management of acute traumatic coagulopathy. </w:t>
      </w:r>
      <w:r w:rsidRPr="00B331A6">
        <w:rPr>
          <w:rFonts w:ascii="Times New Roman" w:hAnsi="Times New Roman" w:cs="Times New Roman"/>
          <w:i/>
          <w:iCs/>
          <w:noProof/>
          <w:sz w:val="23"/>
          <w:szCs w:val="23"/>
        </w:rPr>
        <w:t>Clinical and Applied Thrombosis /Hemostasis, 20</w:t>
      </w:r>
      <w:r w:rsidRPr="00B331A6">
        <w:rPr>
          <w:rFonts w:ascii="Times New Roman" w:hAnsi="Times New Roman" w:cs="Times New Roman"/>
          <w:noProof/>
          <w:sz w:val="23"/>
          <w:szCs w:val="23"/>
        </w:rPr>
        <w:t>(10), 1-8.</w:t>
      </w:r>
    </w:p>
    <w:p w:rsidR="00B331A6" w:rsidRPr="00B331A6" w:rsidRDefault="00B331A6" w:rsidP="00B331A6">
      <w:pPr>
        <w:pStyle w:val="Bibliography"/>
        <w:spacing w:line="480" w:lineRule="auto"/>
        <w:ind w:left="720" w:hanging="720"/>
        <w:rPr>
          <w:rFonts w:ascii="Times New Roman" w:hAnsi="Times New Roman" w:cs="Times New Roman"/>
          <w:noProof/>
          <w:sz w:val="23"/>
          <w:szCs w:val="23"/>
        </w:rPr>
      </w:pPr>
      <w:r w:rsidRPr="00B331A6">
        <w:rPr>
          <w:rFonts w:ascii="Times New Roman" w:hAnsi="Times New Roman" w:cs="Times New Roman"/>
          <w:noProof/>
          <w:sz w:val="23"/>
          <w:szCs w:val="23"/>
        </w:rPr>
        <w:t>Gruen, R., &amp; Mitra, B. (2011).</w:t>
      </w:r>
      <w:r>
        <w:rPr>
          <w:rFonts w:ascii="Times New Roman" w:hAnsi="Times New Roman" w:cs="Times New Roman"/>
          <w:noProof/>
          <w:sz w:val="23"/>
          <w:szCs w:val="23"/>
        </w:rPr>
        <w:t xml:space="preserve"> Tranexamic acid for trauma.</w:t>
      </w:r>
      <w:r w:rsidRPr="00B331A6">
        <w:rPr>
          <w:rFonts w:ascii="Times New Roman" w:hAnsi="Times New Roman" w:cs="Times New Roman"/>
          <w:noProof/>
          <w:sz w:val="23"/>
          <w:szCs w:val="23"/>
        </w:rPr>
        <w:t xml:space="preserve"> Retrieved from http://www.thelancet.com/crash-2</w:t>
      </w:r>
    </w:p>
    <w:p w:rsidR="00B331A6" w:rsidRPr="00B331A6" w:rsidRDefault="00B331A6" w:rsidP="00B331A6">
      <w:pPr>
        <w:pStyle w:val="Bibliography"/>
        <w:spacing w:line="480" w:lineRule="auto"/>
        <w:ind w:left="720" w:hanging="720"/>
        <w:rPr>
          <w:rFonts w:ascii="Times New Roman" w:hAnsi="Times New Roman" w:cs="Times New Roman"/>
          <w:noProof/>
          <w:sz w:val="23"/>
          <w:szCs w:val="23"/>
        </w:rPr>
      </w:pPr>
      <w:r w:rsidRPr="00B331A6">
        <w:rPr>
          <w:rFonts w:ascii="Times New Roman" w:hAnsi="Times New Roman" w:cs="Times New Roman"/>
          <w:noProof/>
          <w:sz w:val="23"/>
          <w:szCs w:val="23"/>
        </w:rPr>
        <w:t xml:space="preserve">Hess, J., Brohi, K., Dutton, R., Hauser, C., Holcomb, J., Kluger, Y., et al. (2008). The coagulopathy of trauma: A review of mechanisms. </w:t>
      </w:r>
      <w:r w:rsidRPr="00B331A6">
        <w:rPr>
          <w:rFonts w:ascii="Times New Roman" w:hAnsi="Times New Roman" w:cs="Times New Roman"/>
          <w:i/>
          <w:iCs/>
          <w:noProof/>
          <w:sz w:val="23"/>
          <w:szCs w:val="23"/>
        </w:rPr>
        <w:t>The Journal of Trauma Injury, Infection, and Critical Care, 65</w:t>
      </w:r>
      <w:r w:rsidRPr="00B331A6">
        <w:rPr>
          <w:rFonts w:ascii="Times New Roman" w:hAnsi="Times New Roman" w:cs="Times New Roman"/>
          <w:noProof/>
          <w:sz w:val="23"/>
          <w:szCs w:val="23"/>
        </w:rPr>
        <w:t>(1), 748-754.</w:t>
      </w:r>
    </w:p>
    <w:p w:rsidR="00B331A6" w:rsidRPr="00B331A6" w:rsidRDefault="00B331A6" w:rsidP="00B331A6">
      <w:pPr>
        <w:pStyle w:val="Bibliography"/>
        <w:spacing w:line="480" w:lineRule="auto"/>
        <w:ind w:left="720" w:hanging="720"/>
        <w:rPr>
          <w:rFonts w:ascii="Times New Roman" w:hAnsi="Times New Roman" w:cs="Times New Roman"/>
          <w:noProof/>
          <w:sz w:val="23"/>
          <w:szCs w:val="23"/>
        </w:rPr>
      </w:pPr>
      <w:r w:rsidRPr="00B331A6">
        <w:rPr>
          <w:rFonts w:ascii="Times New Roman" w:hAnsi="Times New Roman" w:cs="Times New Roman"/>
          <w:noProof/>
          <w:sz w:val="23"/>
          <w:szCs w:val="23"/>
        </w:rPr>
        <w:t xml:space="preserve">Morrison, J., Dubose, J., Rasmussen, T., &amp; Midwinter, M. (2012). Military application of tranexamic acid in trauma emergency resuscitation (MATTERs) study. </w:t>
      </w:r>
      <w:r w:rsidRPr="00B331A6">
        <w:rPr>
          <w:rFonts w:ascii="Times New Roman" w:hAnsi="Times New Roman" w:cs="Times New Roman"/>
          <w:i/>
          <w:iCs/>
          <w:noProof/>
          <w:sz w:val="23"/>
          <w:szCs w:val="23"/>
        </w:rPr>
        <w:t>Archives of Surgery, 147</w:t>
      </w:r>
      <w:r w:rsidRPr="00B331A6">
        <w:rPr>
          <w:rFonts w:ascii="Times New Roman" w:hAnsi="Times New Roman" w:cs="Times New Roman"/>
          <w:noProof/>
          <w:sz w:val="23"/>
          <w:szCs w:val="23"/>
        </w:rPr>
        <w:t>(2), 113-119.</w:t>
      </w:r>
    </w:p>
    <w:p w:rsidR="00B331A6" w:rsidRPr="00B331A6" w:rsidRDefault="00B331A6" w:rsidP="00B331A6">
      <w:pPr>
        <w:pStyle w:val="Bibliography"/>
        <w:spacing w:line="480" w:lineRule="auto"/>
        <w:ind w:left="720" w:hanging="720"/>
        <w:rPr>
          <w:rFonts w:ascii="Times New Roman" w:hAnsi="Times New Roman" w:cs="Times New Roman"/>
          <w:noProof/>
          <w:sz w:val="23"/>
          <w:szCs w:val="23"/>
        </w:rPr>
      </w:pPr>
      <w:r w:rsidRPr="00B331A6">
        <w:rPr>
          <w:rFonts w:ascii="Times New Roman" w:hAnsi="Times New Roman" w:cs="Times New Roman"/>
          <w:noProof/>
          <w:sz w:val="23"/>
          <w:szCs w:val="23"/>
        </w:rPr>
        <w:t xml:space="preserve">Napolitano, L., Cohen, M., Schreiber, M., Moore, E., &amp; Cotton, B. (2013). Tranexamic acid in trauma: How should we use it? </w:t>
      </w:r>
      <w:r w:rsidRPr="00B331A6">
        <w:rPr>
          <w:rFonts w:ascii="Times New Roman" w:hAnsi="Times New Roman" w:cs="Times New Roman"/>
          <w:i/>
          <w:iCs/>
          <w:noProof/>
          <w:sz w:val="23"/>
          <w:szCs w:val="23"/>
        </w:rPr>
        <w:t>Journal of Trauma and Acute Care Surgery, 74</w:t>
      </w:r>
      <w:r w:rsidRPr="00B331A6">
        <w:rPr>
          <w:rFonts w:ascii="Times New Roman" w:hAnsi="Times New Roman" w:cs="Times New Roman"/>
          <w:noProof/>
          <w:sz w:val="23"/>
          <w:szCs w:val="23"/>
        </w:rPr>
        <w:t>(6), 1575-1586.</w:t>
      </w:r>
    </w:p>
    <w:p w:rsidR="00B331A6" w:rsidRPr="00B331A6" w:rsidRDefault="00B331A6" w:rsidP="00B331A6">
      <w:pPr>
        <w:pStyle w:val="Bibliography"/>
        <w:spacing w:line="480" w:lineRule="auto"/>
        <w:ind w:left="720" w:hanging="720"/>
        <w:rPr>
          <w:rFonts w:ascii="Times New Roman" w:hAnsi="Times New Roman" w:cs="Times New Roman"/>
          <w:noProof/>
          <w:sz w:val="23"/>
          <w:szCs w:val="23"/>
        </w:rPr>
      </w:pPr>
      <w:r w:rsidRPr="00B331A6">
        <w:rPr>
          <w:rFonts w:ascii="Times New Roman" w:hAnsi="Times New Roman" w:cs="Times New Roman"/>
          <w:noProof/>
          <w:sz w:val="23"/>
          <w:szCs w:val="23"/>
        </w:rPr>
        <w:t xml:space="preserve">Ruiz, C., &amp; Andresen, M. (2013). Treatment of acute coagulopathy associated with trauma. </w:t>
      </w:r>
      <w:r w:rsidRPr="00B331A6">
        <w:rPr>
          <w:rFonts w:ascii="Times New Roman" w:hAnsi="Times New Roman" w:cs="Times New Roman"/>
          <w:i/>
          <w:iCs/>
          <w:noProof/>
          <w:sz w:val="23"/>
          <w:szCs w:val="23"/>
        </w:rPr>
        <w:t>Critical Care, 20</w:t>
      </w:r>
      <w:r w:rsidRPr="00B331A6">
        <w:rPr>
          <w:rFonts w:ascii="Times New Roman" w:hAnsi="Times New Roman" w:cs="Times New Roman"/>
          <w:noProof/>
          <w:sz w:val="23"/>
          <w:szCs w:val="23"/>
        </w:rPr>
        <w:t>(2), 201-208.</w:t>
      </w:r>
    </w:p>
    <w:p w:rsidR="00B331A6" w:rsidRPr="00B331A6" w:rsidRDefault="00B331A6" w:rsidP="00B331A6">
      <w:pPr>
        <w:pStyle w:val="Bibliography"/>
        <w:spacing w:line="480" w:lineRule="auto"/>
        <w:ind w:left="720" w:hanging="720"/>
        <w:rPr>
          <w:rFonts w:ascii="Times New Roman" w:hAnsi="Times New Roman" w:cs="Times New Roman"/>
          <w:noProof/>
          <w:sz w:val="23"/>
          <w:szCs w:val="23"/>
        </w:rPr>
      </w:pPr>
      <w:r w:rsidRPr="00B331A6">
        <w:rPr>
          <w:rFonts w:ascii="Times New Roman" w:hAnsi="Times New Roman" w:cs="Times New Roman"/>
          <w:noProof/>
          <w:sz w:val="23"/>
          <w:szCs w:val="23"/>
        </w:rPr>
        <w:t xml:space="preserve">Shakur, H., Roberts, I., Bautista, R., Caballero, J., Coats, T., Dewan, Y., et al. (2010). Effects of tranexamic acid on death, vascular occulsive events, and blood transfusion in trauma patients with significant hemorrhage (CRASH-2); a randomized placebo-controlled trial. </w:t>
      </w:r>
      <w:r w:rsidRPr="00B331A6">
        <w:rPr>
          <w:rFonts w:ascii="Times New Roman" w:hAnsi="Times New Roman" w:cs="Times New Roman"/>
          <w:i/>
          <w:iCs/>
          <w:noProof/>
          <w:sz w:val="23"/>
          <w:szCs w:val="23"/>
        </w:rPr>
        <w:t>Lancet, 376</w:t>
      </w:r>
      <w:r w:rsidRPr="00B331A6">
        <w:rPr>
          <w:rFonts w:ascii="Times New Roman" w:hAnsi="Times New Roman" w:cs="Times New Roman"/>
          <w:noProof/>
          <w:sz w:val="23"/>
          <w:szCs w:val="23"/>
        </w:rPr>
        <w:t>(9734), 23-32.</w:t>
      </w:r>
    </w:p>
    <w:p w:rsidR="00B331A6" w:rsidRPr="00B331A6" w:rsidRDefault="00B331A6" w:rsidP="00B331A6">
      <w:pPr>
        <w:pStyle w:val="Bibliography"/>
        <w:spacing w:line="480" w:lineRule="auto"/>
        <w:ind w:left="720" w:hanging="720"/>
        <w:rPr>
          <w:rFonts w:ascii="Times New Roman" w:hAnsi="Times New Roman" w:cs="Times New Roman"/>
          <w:noProof/>
          <w:sz w:val="23"/>
          <w:szCs w:val="23"/>
        </w:rPr>
      </w:pPr>
      <w:r w:rsidRPr="00B331A6">
        <w:rPr>
          <w:rFonts w:ascii="Times New Roman" w:hAnsi="Times New Roman" w:cs="Times New Roman"/>
          <w:noProof/>
          <w:sz w:val="23"/>
          <w:szCs w:val="23"/>
        </w:rPr>
        <w:t xml:space="preserve">Spahn, D., Bouillon, B., Coats, T., Duranteau, J., Mondejar, E., Filipescu, D., et al. (2013). Management of bleeding and coagulopathy following major trauma: and updated European Guideline. </w:t>
      </w:r>
      <w:r w:rsidRPr="00B331A6">
        <w:rPr>
          <w:rFonts w:ascii="Times New Roman" w:hAnsi="Times New Roman" w:cs="Times New Roman"/>
          <w:i/>
          <w:iCs/>
          <w:noProof/>
          <w:sz w:val="23"/>
          <w:szCs w:val="23"/>
        </w:rPr>
        <w:t>Critical Care, 17</w:t>
      </w:r>
      <w:r w:rsidRPr="00B331A6">
        <w:rPr>
          <w:rFonts w:ascii="Times New Roman" w:hAnsi="Times New Roman" w:cs="Times New Roman"/>
          <w:noProof/>
          <w:sz w:val="23"/>
          <w:szCs w:val="23"/>
        </w:rPr>
        <w:t>(76), 1-45.</w:t>
      </w:r>
    </w:p>
    <w:p w:rsidR="00B331A6" w:rsidRPr="00B331A6" w:rsidRDefault="00B331A6" w:rsidP="00B331A6">
      <w:pPr>
        <w:pStyle w:val="Bibliography"/>
        <w:spacing w:line="480" w:lineRule="auto"/>
        <w:ind w:left="720" w:hanging="720"/>
        <w:rPr>
          <w:rFonts w:ascii="Times New Roman" w:hAnsi="Times New Roman" w:cs="Times New Roman"/>
          <w:noProof/>
          <w:sz w:val="23"/>
          <w:szCs w:val="23"/>
        </w:rPr>
      </w:pPr>
      <w:r w:rsidRPr="00B331A6">
        <w:rPr>
          <w:rFonts w:ascii="Times New Roman" w:hAnsi="Times New Roman" w:cs="Times New Roman"/>
          <w:noProof/>
          <w:sz w:val="23"/>
          <w:szCs w:val="23"/>
        </w:rPr>
        <w:lastRenderedPageBreak/>
        <w:t xml:space="preserve">Swendsen, H., Galante , J., Utter, G., Bateni, S., Scherer, L., &amp; Schermer, C. (2013). Tranexamic acid use in trauma: effective but not without consquences . </w:t>
      </w:r>
      <w:r w:rsidRPr="00B331A6">
        <w:rPr>
          <w:rFonts w:ascii="Times New Roman" w:hAnsi="Times New Roman" w:cs="Times New Roman"/>
          <w:i/>
          <w:iCs/>
          <w:noProof/>
          <w:sz w:val="23"/>
          <w:szCs w:val="23"/>
        </w:rPr>
        <w:t>J</w:t>
      </w:r>
      <w:r>
        <w:rPr>
          <w:rFonts w:ascii="Times New Roman" w:hAnsi="Times New Roman" w:cs="Times New Roman"/>
          <w:i/>
          <w:iCs/>
          <w:noProof/>
          <w:sz w:val="23"/>
          <w:szCs w:val="23"/>
        </w:rPr>
        <w:t>ournal of Trauma and Treatment,</w:t>
      </w:r>
      <w:r w:rsidRPr="00B331A6">
        <w:rPr>
          <w:rFonts w:ascii="Times New Roman" w:hAnsi="Times New Roman" w:cs="Times New Roman"/>
          <w:i/>
          <w:iCs/>
          <w:noProof/>
          <w:sz w:val="23"/>
          <w:szCs w:val="23"/>
        </w:rPr>
        <w:t xml:space="preserve"> 2</w:t>
      </w:r>
      <w:r w:rsidRPr="00B331A6">
        <w:rPr>
          <w:rFonts w:ascii="Times New Roman" w:hAnsi="Times New Roman" w:cs="Times New Roman"/>
          <w:noProof/>
          <w:sz w:val="23"/>
          <w:szCs w:val="23"/>
        </w:rPr>
        <w:t>(4), 1-5.</w:t>
      </w:r>
    </w:p>
    <w:p w:rsidR="00B331A6" w:rsidRPr="00B331A6" w:rsidRDefault="00B331A6" w:rsidP="00B331A6">
      <w:pPr>
        <w:pStyle w:val="Bibliography"/>
        <w:spacing w:line="480" w:lineRule="auto"/>
        <w:ind w:left="720" w:hanging="720"/>
        <w:rPr>
          <w:rFonts w:ascii="Times New Roman" w:hAnsi="Times New Roman" w:cs="Times New Roman"/>
          <w:noProof/>
          <w:sz w:val="23"/>
          <w:szCs w:val="23"/>
        </w:rPr>
      </w:pPr>
      <w:r w:rsidRPr="00B331A6">
        <w:rPr>
          <w:rFonts w:ascii="Times New Roman" w:hAnsi="Times New Roman" w:cs="Times New Roman"/>
          <w:noProof/>
          <w:sz w:val="23"/>
          <w:szCs w:val="23"/>
        </w:rPr>
        <w:t xml:space="preserve">William, T., Sadjadi, J., Harken, A., &amp; Victorino, G. (2008). The necessity to assess anticoagulation status in elderly injured patients . </w:t>
      </w:r>
      <w:r w:rsidRPr="00B331A6">
        <w:rPr>
          <w:rFonts w:ascii="Times New Roman" w:hAnsi="Times New Roman" w:cs="Times New Roman"/>
          <w:i/>
          <w:iCs/>
          <w:noProof/>
          <w:sz w:val="23"/>
          <w:szCs w:val="23"/>
        </w:rPr>
        <w:t>Journal of Trauma Inju</w:t>
      </w:r>
      <w:r>
        <w:rPr>
          <w:rFonts w:ascii="Times New Roman" w:hAnsi="Times New Roman" w:cs="Times New Roman"/>
          <w:i/>
          <w:iCs/>
          <w:noProof/>
          <w:sz w:val="23"/>
          <w:szCs w:val="23"/>
        </w:rPr>
        <w:t>ry, Infection, and Critical Care</w:t>
      </w:r>
      <w:r w:rsidRPr="00B331A6">
        <w:rPr>
          <w:rFonts w:ascii="Times New Roman" w:hAnsi="Times New Roman" w:cs="Times New Roman"/>
          <w:i/>
          <w:iCs/>
          <w:noProof/>
          <w:sz w:val="23"/>
          <w:szCs w:val="23"/>
        </w:rPr>
        <w:t xml:space="preserve"> , 65</w:t>
      </w:r>
      <w:r w:rsidRPr="00B331A6">
        <w:rPr>
          <w:rFonts w:ascii="Times New Roman" w:hAnsi="Times New Roman" w:cs="Times New Roman"/>
          <w:noProof/>
          <w:sz w:val="23"/>
          <w:szCs w:val="23"/>
        </w:rPr>
        <w:t>(4), 772-777.</w:t>
      </w:r>
    </w:p>
    <w:p w:rsidR="000613D9" w:rsidRPr="00947DDA" w:rsidRDefault="00B331A6" w:rsidP="00B331A6">
      <w:pPr>
        <w:pStyle w:val="APA"/>
        <w:rPr>
          <w:b/>
        </w:rPr>
      </w:pPr>
      <w:r w:rsidRPr="00B331A6">
        <w:rPr>
          <w:b/>
          <w:sz w:val="23"/>
          <w:szCs w:val="23"/>
        </w:rPr>
        <w:fldChar w:fldCharType="end"/>
      </w:r>
    </w:p>
    <w:sectPr w:rsidR="000613D9" w:rsidRPr="00947DDA" w:rsidSect="000613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047" w:rsidRDefault="00823047">
      <w:r>
        <w:separator/>
      </w:r>
    </w:p>
  </w:endnote>
  <w:endnote w:type="continuationSeparator" w:id="0">
    <w:p w:rsidR="00823047" w:rsidRDefault="0082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047" w:rsidRDefault="00823047">
      <w:r>
        <w:separator/>
      </w:r>
    </w:p>
  </w:footnote>
  <w:footnote w:type="continuationSeparator" w:id="0">
    <w:p w:rsidR="00823047" w:rsidRDefault="00823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E1E" w:rsidRPr="000613D9" w:rsidRDefault="00C90E87" w:rsidP="000613D9">
    <w:pPr>
      <w:pStyle w:val="APAPageHeading"/>
    </w:pPr>
    <w:r>
      <w:t>EVIDENCE BASED PAPER</w:t>
    </w:r>
    <w:r w:rsidR="00324E1E">
      <w:tab/>
    </w:r>
    <w:r w:rsidR="00324E1E">
      <w:fldChar w:fldCharType="begin"/>
    </w:r>
    <w:r w:rsidR="00324E1E">
      <w:instrText xml:space="preserve"> PAGE  \* MERGEFORMAT </w:instrText>
    </w:r>
    <w:r w:rsidR="00324E1E">
      <w:fldChar w:fldCharType="separate"/>
    </w:r>
    <w:r w:rsidR="00880078">
      <w:rPr>
        <w:noProof/>
      </w:rPr>
      <w:t>3</w:t>
    </w:r>
    <w:r w:rsidR="00324E1E">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E1E" w:rsidRPr="000613D9" w:rsidRDefault="00324E1E" w:rsidP="000613D9">
    <w:pPr>
      <w:pStyle w:val="APAPageHeading"/>
    </w:pPr>
    <w:r>
      <w:t>Running head:</w:t>
    </w:r>
    <w:r w:rsidR="00C90E87">
      <w:t xml:space="preserve"> EVIDENCE BASED </w:t>
    </w:r>
    <w:r w:rsidR="00D412BD">
      <w:t xml:space="preserve">PAPER </w:t>
    </w:r>
    <w:r>
      <w:tab/>
    </w:r>
    <w:r>
      <w:fldChar w:fldCharType="begin"/>
    </w:r>
    <w:r>
      <w:instrText xml:space="preserve"> PAGE  \* MERGEFORMAT </w:instrText>
    </w:r>
    <w:r>
      <w:fldChar w:fldCharType="separate"/>
    </w:r>
    <w:r w:rsidR="00880078">
      <w:rPr>
        <w:noProof/>
      </w:rPr>
      <w:t>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E1E" w:rsidRPr="000613D9" w:rsidRDefault="00C90E87" w:rsidP="000613D9">
    <w:pPr>
      <w:pStyle w:val="APAPageHeading"/>
    </w:pPr>
    <w:r>
      <w:t>EVIDENCE BASED PAPER</w:t>
    </w:r>
    <w:r w:rsidR="00324E1E">
      <w:tab/>
    </w:r>
    <w:r w:rsidR="00324E1E">
      <w:fldChar w:fldCharType="begin"/>
    </w:r>
    <w:r w:rsidR="00324E1E">
      <w:instrText xml:space="preserve"> PAGE  \* MERGEFORMAT </w:instrText>
    </w:r>
    <w:r w:rsidR="00324E1E">
      <w:fldChar w:fldCharType="separate"/>
    </w:r>
    <w:r w:rsidR="00880078">
      <w:rPr>
        <w:noProof/>
      </w:rPr>
      <w:t>2</w:t>
    </w:r>
    <w:r w:rsidR="00324E1E">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mHeaderInfo" w:val="EVIDENCE BASED PRACTICE PAPER"/>
    <w:docVar w:name="cIsAbstract" w:val="False"/>
    <w:docVar w:name="cPaperAPAOrMLA" w:val="1"/>
    <w:docVar w:name="cUniquePaperID" w:val="417374743402778I0"/>
    <w:docVar w:name="LastEditedVersion" w:val="7.0.16"/>
  </w:docVars>
  <w:rsids>
    <w:rsidRoot w:val="000613D9"/>
    <w:rsid w:val="000022DA"/>
    <w:rsid w:val="00003776"/>
    <w:rsid w:val="00004A0E"/>
    <w:rsid w:val="0000704A"/>
    <w:rsid w:val="0000750F"/>
    <w:rsid w:val="0001296A"/>
    <w:rsid w:val="00013627"/>
    <w:rsid w:val="00015FF1"/>
    <w:rsid w:val="0001685B"/>
    <w:rsid w:val="0002073C"/>
    <w:rsid w:val="00024E98"/>
    <w:rsid w:val="00025FAC"/>
    <w:rsid w:val="00031745"/>
    <w:rsid w:val="000323AD"/>
    <w:rsid w:val="00033E75"/>
    <w:rsid w:val="00034E5C"/>
    <w:rsid w:val="00035FF6"/>
    <w:rsid w:val="00040203"/>
    <w:rsid w:val="000428F1"/>
    <w:rsid w:val="00043377"/>
    <w:rsid w:val="000455A3"/>
    <w:rsid w:val="00045BCD"/>
    <w:rsid w:val="00047B6B"/>
    <w:rsid w:val="000503B7"/>
    <w:rsid w:val="00051B53"/>
    <w:rsid w:val="00051E09"/>
    <w:rsid w:val="00052BB5"/>
    <w:rsid w:val="000531FC"/>
    <w:rsid w:val="00054627"/>
    <w:rsid w:val="000553B6"/>
    <w:rsid w:val="00055EAD"/>
    <w:rsid w:val="00056419"/>
    <w:rsid w:val="000613D9"/>
    <w:rsid w:val="000625FF"/>
    <w:rsid w:val="00063D22"/>
    <w:rsid w:val="000645CE"/>
    <w:rsid w:val="00064753"/>
    <w:rsid w:val="00065715"/>
    <w:rsid w:val="00066EEF"/>
    <w:rsid w:val="000676E9"/>
    <w:rsid w:val="00067855"/>
    <w:rsid w:val="0007012E"/>
    <w:rsid w:val="000718A5"/>
    <w:rsid w:val="00075B68"/>
    <w:rsid w:val="000777BB"/>
    <w:rsid w:val="00077CA5"/>
    <w:rsid w:val="00080A06"/>
    <w:rsid w:val="0008185E"/>
    <w:rsid w:val="00082D96"/>
    <w:rsid w:val="00084594"/>
    <w:rsid w:val="00085AB3"/>
    <w:rsid w:val="00085FA2"/>
    <w:rsid w:val="000860FD"/>
    <w:rsid w:val="0009053F"/>
    <w:rsid w:val="0009147F"/>
    <w:rsid w:val="00093416"/>
    <w:rsid w:val="0009346D"/>
    <w:rsid w:val="000951BD"/>
    <w:rsid w:val="0009552B"/>
    <w:rsid w:val="000968B7"/>
    <w:rsid w:val="000A0301"/>
    <w:rsid w:val="000A0314"/>
    <w:rsid w:val="000A2493"/>
    <w:rsid w:val="000A4324"/>
    <w:rsid w:val="000A7474"/>
    <w:rsid w:val="000A7C2C"/>
    <w:rsid w:val="000B0007"/>
    <w:rsid w:val="000B170D"/>
    <w:rsid w:val="000B18A9"/>
    <w:rsid w:val="000B25A0"/>
    <w:rsid w:val="000B4365"/>
    <w:rsid w:val="000B772C"/>
    <w:rsid w:val="000C03BF"/>
    <w:rsid w:val="000C11DE"/>
    <w:rsid w:val="000C1FC5"/>
    <w:rsid w:val="000C6EAB"/>
    <w:rsid w:val="000D156B"/>
    <w:rsid w:val="000D2B19"/>
    <w:rsid w:val="000D2C3F"/>
    <w:rsid w:val="000D2FF5"/>
    <w:rsid w:val="000D605A"/>
    <w:rsid w:val="000D6B46"/>
    <w:rsid w:val="000D79A9"/>
    <w:rsid w:val="000D7BE9"/>
    <w:rsid w:val="000D7D73"/>
    <w:rsid w:val="000E332F"/>
    <w:rsid w:val="000E545D"/>
    <w:rsid w:val="000E5B81"/>
    <w:rsid w:val="000E6116"/>
    <w:rsid w:val="000F01E0"/>
    <w:rsid w:val="000F14DE"/>
    <w:rsid w:val="000F20F8"/>
    <w:rsid w:val="000F2E61"/>
    <w:rsid w:val="000F5E97"/>
    <w:rsid w:val="000F7897"/>
    <w:rsid w:val="00103036"/>
    <w:rsid w:val="001041BF"/>
    <w:rsid w:val="00105122"/>
    <w:rsid w:val="0010597B"/>
    <w:rsid w:val="00106873"/>
    <w:rsid w:val="00106E14"/>
    <w:rsid w:val="001070AD"/>
    <w:rsid w:val="0011050C"/>
    <w:rsid w:val="00111633"/>
    <w:rsid w:val="00115618"/>
    <w:rsid w:val="00116ADB"/>
    <w:rsid w:val="001170F1"/>
    <w:rsid w:val="001218B0"/>
    <w:rsid w:val="00121FC6"/>
    <w:rsid w:val="00122D08"/>
    <w:rsid w:val="00123240"/>
    <w:rsid w:val="001235F2"/>
    <w:rsid w:val="00124F6E"/>
    <w:rsid w:val="00126126"/>
    <w:rsid w:val="00126C95"/>
    <w:rsid w:val="0012702A"/>
    <w:rsid w:val="00127244"/>
    <w:rsid w:val="0013109F"/>
    <w:rsid w:val="00131A06"/>
    <w:rsid w:val="001350B0"/>
    <w:rsid w:val="0013528E"/>
    <w:rsid w:val="00141AD2"/>
    <w:rsid w:val="00142616"/>
    <w:rsid w:val="001426A8"/>
    <w:rsid w:val="00142F3C"/>
    <w:rsid w:val="0014304D"/>
    <w:rsid w:val="00143AE5"/>
    <w:rsid w:val="001451FA"/>
    <w:rsid w:val="001456FD"/>
    <w:rsid w:val="00145CAA"/>
    <w:rsid w:val="00147599"/>
    <w:rsid w:val="0015028A"/>
    <w:rsid w:val="00151FAC"/>
    <w:rsid w:val="00152199"/>
    <w:rsid w:val="0015261A"/>
    <w:rsid w:val="00152C55"/>
    <w:rsid w:val="00153323"/>
    <w:rsid w:val="00154EAA"/>
    <w:rsid w:val="00156992"/>
    <w:rsid w:val="00157AB3"/>
    <w:rsid w:val="001607F0"/>
    <w:rsid w:val="001608C4"/>
    <w:rsid w:val="00161C96"/>
    <w:rsid w:val="00162410"/>
    <w:rsid w:val="00164E7D"/>
    <w:rsid w:val="00165696"/>
    <w:rsid w:val="0016796B"/>
    <w:rsid w:val="001717AD"/>
    <w:rsid w:val="0017576B"/>
    <w:rsid w:val="00176C2C"/>
    <w:rsid w:val="00182674"/>
    <w:rsid w:val="00183914"/>
    <w:rsid w:val="001872ED"/>
    <w:rsid w:val="00193D42"/>
    <w:rsid w:val="00194F61"/>
    <w:rsid w:val="0019637A"/>
    <w:rsid w:val="00196AB8"/>
    <w:rsid w:val="001A01B8"/>
    <w:rsid w:val="001A22D7"/>
    <w:rsid w:val="001A41E3"/>
    <w:rsid w:val="001A426B"/>
    <w:rsid w:val="001A48B8"/>
    <w:rsid w:val="001A504B"/>
    <w:rsid w:val="001A51CE"/>
    <w:rsid w:val="001B2572"/>
    <w:rsid w:val="001B3645"/>
    <w:rsid w:val="001B6C27"/>
    <w:rsid w:val="001B6E9D"/>
    <w:rsid w:val="001C063D"/>
    <w:rsid w:val="001C28D2"/>
    <w:rsid w:val="001C2AE1"/>
    <w:rsid w:val="001C32FC"/>
    <w:rsid w:val="001C5744"/>
    <w:rsid w:val="001C5C5E"/>
    <w:rsid w:val="001C5F65"/>
    <w:rsid w:val="001C67B6"/>
    <w:rsid w:val="001D00DC"/>
    <w:rsid w:val="001D0ECC"/>
    <w:rsid w:val="001D4296"/>
    <w:rsid w:val="001D5268"/>
    <w:rsid w:val="001D5894"/>
    <w:rsid w:val="001D7C57"/>
    <w:rsid w:val="001E10AE"/>
    <w:rsid w:val="001E16E1"/>
    <w:rsid w:val="001E1BE4"/>
    <w:rsid w:val="001E1F31"/>
    <w:rsid w:val="001E25C4"/>
    <w:rsid w:val="001E45A4"/>
    <w:rsid w:val="001E5D0C"/>
    <w:rsid w:val="001E6595"/>
    <w:rsid w:val="001E728D"/>
    <w:rsid w:val="001E7297"/>
    <w:rsid w:val="001F24FE"/>
    <w:rsid w:val="001F3961"/>
    <w:rsid w:val="001F637B"/>
    <w:rsid w:val="001F7594"/>
    <w:rsid w:val="002005E1"/>
    <w:rsid w:val="00200A7F"/>
    <w:rsid w:val="00201A81"/>
    <w:rsid w:val="0020377A"/>
    <w:rsid w:val="002048C7"/>
    <w:rsid w:val="00204F2F"/>
    <w:rsid w:val="00205703"/>
    <w:rsid w:val="00205C43"/>
    <w:rsid w:val="002067AA"/>
    <w:rsid w:val="002073C7"/>
    <w:rsid w:val="00211BF1"/>
    <w:rsid w:val="00212532"/>
    <w:rsid w:val="002133C2"/>
    <w:rsid w:val="00214A4B"/>
    <w:rsid w:val="00215795"/>
    <w:rsid w:val="00215880"/>
    <w:rsid w:val="002202EF"/>
    <w:rsid w:val="002205AD"/>
    <w:rsid w:val="0022347E"/>
    <w:rsid w:val="002252B7"/>
    <w:rsid w:val="0022564A"/>
    <w:rsid w:val="0022727A"/>
    <w:rsid w:val="0023071D"/>
    <w:rsid w:val="00231560"/>
    <w:rsid w:val="002329A1"/>
    <w:rsid w:val="00232A05"/>
    <w:rsid w:val="00232A51"/>
    <w:rsid w:val="00232EB1"/>
    <w:rsid w:val="00240C83"/>
    <w:rsid w:val="002423B5"/>
    <w:rsid w:val="00247CA9"/>
    <w:rsid w:val="00251294"/>
    <w:rsid w:val="00252135"/>
    <w:rsid w:val="00254A47"/>
    <w:rsid w:val="00256F08"/>
    <w:rsid w:val="00257D7F"/>
    <w:rsid w:val="00262C8E"/>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30CD"/>
    <w:rsid w:val="00283345"/>
    <w:rsid w:val="00285FE5"/>
    <w:rsid w:val="00286880"/>
    <w:rsid w:val="00286B5B"/>
    <w:rsid w:val="002871C1"/>
    <w:rsid w:val="002909A0"/>
    <w:rsid w:val="002918EA"/>
    <w:rsid w:val="0029232B"/>
    <w:rsid w:val="0029257E"/>
    <w:rsid w:val="00293639"/>
    <w:rsid w:val="00296369"/>
    <w:rsid w:val="002A5CB7"/>
    <w:rsid w:val="002A5F46"/>
    <w:rsid w:val="002A7EDF"/>
    <w:rsid w:val="002B1342"/>
    <w:rsid w:val="002B23C3"/>
    <w:rsid w:val="002B2A4D"/>
    <w:rsid w:val="002B307F"/>
    <w:rsid w:val="002B3628"/>
    <w:rsid w:val="002B4081"/>
    <w:rsid w:val="002B40E2"/>
    <w:rsid w:val="002B445E"/>
    <w:rsid w:val="002B46A5"/>
    <w:rsid w:val="002B4F55"/>
    <w:rsid w:val="002B62B6"/>
    <w:rsid w:val="002B660D"/>
    <w:rsid w:val="002B68A4"/>
    <w:rsid w:val="002B6C5A"/>
    <w:rsid w:val="002B6CB2"/>
    <w:rsid w:val="002B6EA3"/>
    <w:rsid w:val="002C0621"/>
    <w:rsid w:val="002C3DC8"/>
    <w:rsid w:val="002C6E11"/>
    <w:rsid w:val="002D357E"/>
    <w:rsid w:val="002D5B53"/>
    <w:rsid w:val="002D6107"/>
    <w:rsid w:val="002D7CE6"/>
    <w:rsid w:val="002E1C1A"/>
    <w:rsid w:val="002E38B3"/>
    <w:rsid w:val="002E3980"/>
    <w:rsid w:val="002E524C"/>
    <w:rsid w:val="002E6ABC"/>
    <w:rsid w:val="002E7BB5"/>
    <w:rsid w:val="002F1C92"/>
    <w:rsid w:val="002F2990"/>
    <w:rsid w:val="002F42C4"/>
    <w:rsid w:val="002F7F16"/>
    <w:rsid w:val="003013D8"/>
    <w:rsid w:val="00302829"/>
    <w:rsid w:val="00304072"/>
    <w:rsid w:val="0030408C"/>
    <w:rsid w:val="003047E5"/>
    <w:rsid w:val="00304FA2"/>
    <w:rsid w:val="003112B7"/>
    <w:rsid w:val="003147FB"/>
    <w:rsid w:val="00321211"/>
    <w:rsid w:val="003221B8"/>
    <w:rsid w:val="0032424E"/>
    <w:rsid w:val="00324E1E"/>
    <w:rsid w:val="00326D13"/>
    <w:rsid w:val="00326D6C"/>
    <w:rsid w:val="003338CD"/>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62C66"/>
    <w:rsid w:val="00363A1E"/>
    <w:rsid w:val="00365594"/>
    <w:rsid w:val="003661C5"/>
    <w:rsid w:val="00366DC6"/>
    <w:rsid w:val="00367EC2"/>
    <w:rsid w:val="00371A8C"/>
    <w:rsid w:val="00373541"/>
    <w:rsid w:val="0037387E"/>
    <w:rsid w:val="00374B95"/>
    <w:rsid w:val="00374C02"/>
    <w:rsid w:val="00375A1B"/>
    <w:rsid w:val="00375B22"/>
    <w:rsid w:val="00376775"/>
    <w:rsid w:val="003768A4"/>
    <w:rsid w:val="003775CA"/>
    <w:rsid w:val="0038146A"/>
    <w:rsid w:val="00385539"/>
    <w:rsid w:val="00385B25"/>
    <w:rsid w:val="003879B5"/>
    <w:rsid w:val="00391EED"/>
    <w:rsid w:val="003934DC"/>
    <w:rsid w:val="003963D7"/>
    <w:rsid w:val="00396B88"/>
    <w:rsid w:val="0039760F"/>
    <w:rsid w:val="00397A67"/>
    <w:rsid w:val="00397F11"/>
    <w:rsid w:val="003A00CB"/>
    <w:rsid w:val="003A14EB"/>
    <w:rsid w:val="003A1559"/>
    <w:rsid w:val="003A1803"/>
    <w:rsid w:val="003A2293"/>
    <w:rsid w:val="003A2486"/>
    <w:rsid w:val="003A2678"/>
    <w:rsid w:val="003A3C20"/>
    <w:rsid w:val="003A3D10"/>
    <w:rsid w:val="003A3D7A"/>
    <w:rsid w:val="003A46C9"/>
    <w:rsid w:val="003B16DC"/>
    <w:rsid w:val="003B648B"/>
    <w:rsid w:val="003B7E34"/>
    <w:rsid w:val="003C1153"/>
    <w:rsid w:val="003C1D00"/>
    <w:rsid w:val="003C3D11"/>
    <w:rsid w:val="003C45C2"/>
    <w:rsid w:val="003C65BF"/>
    <w:rsid w:val="003C66CC"/>
    <w:rsid w:val="003C66EE"/>
    <w:rsid w:val="003D07AA"/>
    <w:rsid w:val="003D12E3"/>
    <w:rsid w:val="003D3F4B"/>
    <w:rsid w:val="003D46CB"/>
    <w:rsid w:val="003D568B"/>
    <w:rsid w:val="003D5CB4"/>
    <w:rsid w:val="003E01A9"/>
    <w:rsid w:val="003E154B"/>
    <w:rsid w:val="003E537C"/>
    <w:rsid w:val="003E6233"/>
    <w:rsid w:val="003F04D1"/>
    <w:rsid w:val="003F27CE"/>
    <w:rsid w:val="003F67B2"/>
    <w:rsid w:val="0040226D"/>
    <w:rsid w:val="00402858"/>
    <w:rsid w:val="00403652"/>
    <w:rsid w:val="00406689"/>
    <w:rsid w:val="00406E0E"/>
    <w:rsid w:val="00406F8F"/>
    <w:rsid w:val="004075B6"/>
    <w:rsid w:val="00407B40"/>
    <w:rsid w:val="004104CD"/>
    <w:rsid w:val="004113E8"/>
    <w:rsid w:val="00413981"/>
    <w:rsid w:val="00413E11"/>
    <w:rsid w:val="00415EE0"/>
    <w:rsid w:val="00415F66"/>
    <w:rsid w:val="00416B4B"/>
    <w:rsid w:val="00416FF0"/>
    <w:rsid w:val="00421436"/>
    <w:rsid w:val="00421581"/>
    <w:rsid w:val="004215D4"/>
    <w:rsid w:val="00421C7E"/>
    <w:rsid w:val="00422C7D"/>
    <w:rsid w:val="00431605"/>
    <w:rsid w:val="0043255D"/>
    <w:rsid w:val="004327A6"/>
    <w:rsid w:val="00432B5E"/>
    <w:rsid w:val="0043569C"/>
    <w:rsid w:val="00436242"/>
    <w:rsid w:val="00443D91"/>
    <w:rsid w:val="00444BD7"/>
    <w:rsid w:val="00446BE4"/>
    <w:rsid w:val="0044745A"/>
    <w:rsid w:val="00450181"/>
    <w:rsid w:val="0045042B"/>
    <w:rsid w:val="0045139A"/>
    <w:rsid w:val="00451626"/>
    <w:rsid w:val="00451E56"/>
    <w:rsid w:val="00452ED2"/>
    <w:rsid w:val="00454672"/>
    <w:rsid w:val="0045719E"/>
    <w:rsid w:val="004614B1"/>
    <w:rsid w:val="0046282B"/>
    <w:rsid w:val="004635B0"/>
    <w:rsid w:val="00467BB2"/>
    <w:rsid w:val="0047130D"/>
    <w:rsid w:val="00471E6D"/>
    <w:rsid w:val="0047205B"/>
    <w:rsid w:val="004728E1"/>
    <w:rsid w:val="00475151"/>
    <w:rsid w:val="00480D65"/>
    <w:rsid w:val="00480F4F"/>
    <w:rsid w:val="00483918"/>
    <w:rsid w:val="00490673"/>
    <w:rsid w:val="00490F0A"/>
    <w:rsid w:val="004912A6"/>
    <w:rsid w:val="00491C36"/>
    <w:rsid w:val="00496A04"/>
    <w:rsid w:val="00497A70"/>
    <w:rsid w:val="004A0428"/>
    <w:rsid w:val="004A1B0D"/>
    <w:rsid w:val="004A2156"/>
    <w:rsid w:val="004A49BE"/>
    <w:rsid w:val="004A61D0"/>
    <w:rsid w:val="004A6E3C"/>
    <w:rsid w:val="004A7132"/>
    <w:rsid w:val="004B14E3"/>
    <w:rsid w:val="004B26B0"/>
    <w:rsid w:val="004B26CE"/>
    <w:rsid w:val="004B39D0"/>
    <w:rsid w:val="004B3CCB"/>
    <w:rsid w:val="004B5294"/>
    <w:rsid w:val="004B64D2"/>
    <w:rsid w:val="004B6FC5"/>
    <w:rsid w:val="004B79D3"/>
    <w:rsid w:val="004C04AC"/>
    <w:rsid w:val="004C2C70"/>
    <w:rsid w:val="004C697B"/>
    <w:rsid w:val="004C6BE4"/>
    <w:rsid w:val="004C6C20"/>
    <w:rsid w:val="004C71A2"/>
    <w:rsid w:val="004D01B0"/>
    <w:rsid w:val="004D059A"/>
    <w:rsid w:val="004D0C00"/>
    <w:rsid w:val="004D1BEB"/>
    <w:rsid w:val="004D2770"/>
    <w:rsid w:val="004E40E7"/>
    <w:rsid w:val="004E4238"/>
    <w:rsid w:val="004E43BF"/>
    <w:rsid w:val="004F0978"/>
    <w:rsid w:val="004F1D60"/>
    <w:rsid w:val="004F4A78"/>
    <w:rsid w:val="004F55B9"/>
    <w:rsid w:val="004F5F21"/>
    <w:rsid w:val="00500F5C"/>
    <w:rsid w:val="00501DF0"/>
    <w:rsid w:val="005027EF"/>
    <w:rsid w:val="00503E10"/>
    <w:rsid w:val="005101E4"/>
    <w:rsid w:val="0051076B"/>
    <w:rsid w:val="005118A0"/>
    <w:rsid w:val="0051203B"/>
    <w:rsid w:val="005141AC"/>
    <w:rsid w:val="00514423"/>
    <w:rsid w:val="005145F2"/>
    <w:rsid w:val="00517748"/>
    <w:rsid w:val="00520233"/>
    <w:rsid w:val="00521DF6"/>
    <w:rsid w:val="005228A4"/>
    <w:rsid w:val="00522AC5"/>
    <w:rsid w:val="00524BB5"/>
    <w:rsid w:val="005257C6"/>
    <w:rsid w:val="005258B0"/>
    <w:rsid w:val="005260AF"/>
    <w:rsid w:val="005278D1"/>
    <w:rsid w:val="0053102E"/>
    <w:rsid w:val="00532DA0"/>
    <w:rsid w:val="005344C2"/>
    <w:rsid w:val="00535173"/>
    <w:rsid w:val="005368D3"/>
    <w:rsid w:val="00540D4C"/>
    <w:rsid w:val="00543C29"/>
    <w:rsid w:val="005442E7"/>
    <w:rsid w:val="005444F7"/>
    <w:rsid w:val="005465CF"/>
    <w:rsid w:val="00547853"/>
    <w:rsid w:val="00547B54"/>
    <w:rsid w:val="00550B2D"/>
    <w:rsid w:val="00552E51"/>
    <w:rsid w:val="005540F8"/>
    <w:rsid w:val="005549AD"/>
    <w:rsid w:val="00554CB4"/>
    <w:rsid w:val="005557D0"/>
    <w:rsid w:val="005560EA"/>
    <w:rsid w:val="00556E7B"/>
    <w:rsid w:val="00560CFC"/>
    <w:rsid w:val="005615A5"/>
    <w:rsid w:val="00562CAE"/>
    <w:rsid w:val="0056405C"/>
    <w:rsid w:val="005650EE"/>
    <w:rsid w:val="005708C8"/>
    <w:rsid w:val="005721DA"/>
    <w:rsid w:val="00574175"/>
    <w:rsid w:val="0057453C"/>
    <w:rsid w:val="0057504E"/>
    <w:rsid w:val="00575987"/>
    <w:rsid w:val="005773E2"/>
    <w:rsid w:val="00577428"/>
    <w:rsid w:val="00581455"/>
    <w:rsid w:val="00581E7E"/>
    <w:rsid w:val="00584C03"/>
    <w:rsid w:val="00586812"/>
    <w:rsid w:val="00586A2E"/>
    <w:rsid w:val="005876DC"/>
    <w:rsid w:val="00587B25"/>
    <w:rsid w:val="00590B21"/>
    <w:rsid w:val="00591CA7"/>
    <w:rsid w:val="00592775"/>
    <w:rsid w:val="00592945"/>
    <w:rsid w:val="005933AB"/>
    <w:rsid w:val="00593C02"/>
    <w:rsid w:val="00594358"/>
    <w:rsid w:val="005943CE"/>
    <w:rsid w:val="005961E5"/>
    <w:rsid w:val="00596F9E"/>
    <w:rsid w:val="005A11B2"/>
    <w:rsid w:val="005A1F1D"/>
    <w:rsid w:val="005A2554"/>
    <w:rsid w:val="005A30F5"/>
    <w:rsid w:val="005A423A"/>
    <w:rsid w:val="005A643A"/>
    <w:rsid w:val="005A658D"/>
    <w:rsid w:val="005B031E"/>
    <w:rsid w:val="005B093C"/>
    <w:rsid w:val="005B1212"/>
    <w:rsid w:val="005B1477"/>
    <w:rsid w:val="005B172D"/>
    <w:rsid w:val="005B3CDE"/>
    <w:rsid w:val="005B5BD8"/>
    <w:rsid w:val="005B613C"/>
    <w:rsid w:val="005B6909"/>
    <w:rsid w:val="005C2062"/>
    <w:rsid w:val="005C2B59"/>
    <w:rsid w:val="005C3014"/>
    <w:rsid w:val="005C44FE"/>
    <w:rsid w:val="005D3CE8"/>
    <w:rsid w:val="005D4FA5"/>
    <w:rsid w:val="005D5272"/>
    <w:rsid w:val="005D58E6"/>
    <w:rsid w:val="005E1419"/>
    <w:rsid w:val="005E15C5"/>
    <w:rsid w:val="005E4109"/>
    <w:rsid w:val="005E4303"/>
    <w:rsid w:val="005E47C2"/>
    <w:rsid w:val="005E580F"/>
    <w:rsid w:val="005E661D"/>
    <w:rsid w:val="005E67C5"/>
    <w:rsid w:val="005F03E6"/>
    <w:rsid w:val="005F6687"/>
    <w:rsid w:val="005F732A"/>
    <w:rsid w:val="005F7879"/>
    <w:rsid w:val="00600222"/>
    <w:rsid w:val="00600B4A"/>
    <w:rsid w:val="00601283"/>
    <w:rsid w:val="00601679"/>
    <w:rsid w:val="00604740"/>
    <w:rsid w:val="00611E7C"/>
    <w:rsid w:val="006142E4"/>
    <w:rsid w:val="00614926"/>
    <w:rsid w:val="00616AAA"/>
    <w:rsid w:val="006207E8"/>
    <w:rsid w:val="00621191"/>
    <w:rsid w:val="00622699"/>
    <w:rsid w:val="0062424C"/>
    <w:rsid w:val="00625F35"/>
    <w:rsid w:val="00626481"/>
    <w:rsid w:val="006265CD"/>
    <w:rsid w:val="006334F5"/>
    <w:rsid w:val="00637D86"/>
    <w:rsid w:val="00640162"/>
    <w:rsid w:val="00641AA4"/>
    <w:rsid w:val="00642FAE"/>
    <w:rsid w:val="00644751"/>
    <w:rsid w:val="006454CC"/>
    <w:rsid w:val="006477AF"/>
    <w:rsid w:val="00650B3E"/>
    <w:rsid w:val="006510B1"/>
    <w:rsid w:val="00651BE3"/>
    <w:rsid w:val="00653E3D"/>
    <w:rsid w:val="00656A07"/>
    <w:rsid w:val="006600E5"/>
    <w:rsid w:val="006610AD"/>
    <w:rsid w:val="00661794"/>
    <w:rsid w:val="00661D38"/>
    <w:rsid w:val="00662059"/>
    <w:rsid w:val="00662143"/>
    <w:rsid w:val="00662755"/>
    <w:rsid w:val="0066499D"/>
    <w:rsid w:val="00665941"/>
    <w:rsid w:val="00666DBA"/>
    <w:rsid w:val="00670370"/>
    <w:rsid w:val="00670BC7"/>
    <w:rsid w:val="00670D1A"/>
    <w:rsid w:val="00676629"/>
    <w:rsid w:val="00676C04"/>
    <w:rsid w:val="0068080D"/>
    <w:rsid w:val="00681C1C"/>
    <w:rsid w:val="0068251B"/>
    <w:rsid w:val="00682D64"/>
    <w:rsid w:val="00685368"/>
    <w:rsid w:val="006867D0"/>
    <w:rsid w:val="006906E2"/>
    <w:rsid w:val="00697A6F"/>
    <w:rsid w:val="006A19F2"/>
    <w:rsid w:val="006A3C81"/>
    <w:rsid w:val="006A5B05"/>
    <w:rsid w:val="006A5DAA"/>
    <w:rsid w:val="006A6456"/>
    <w:rsid w:val="006A64EF"/>
    <w:rsid w:val="006A737F"/>
    <w:rsid w:val="006B01BB"/>
    <w:rsid w:val="006B08A2"/>
    <w:rsid w:val="006B2EC6"/>
    <w:rsid w:val="006B346B"/>
    <w:rsid w:val="006B357E"/>
    <w:rsid w:val="006B37BB"/>
    <w:rsid w:val="006B55DD"/>
    <w:rsid w:val="006B668C"/>
    <w:rsid w:val="006B66BD"/>
    <w:rsid w:val="006B7C5C"/>
    <w:rsid w:val="006C0C99"/>
    <w:rsid w:val="006C2009"/>
    <w:rsid w:val="006C2CEB"/>
    <w:rsid w:val="006C2D50"/>
    <w:rsid w:val="006C5169"/>
    <w:rsid w:val="006C5C51"/>
    <w:rsid w:val="006C61AE"/>
    <w:rsid w:val="006C7D1B"/>
    <w:rsid w:val="006D09CA"/>
    <w:rsid w:val="006D6792"/>
    <w:rsid w:val="006E1D3F"/>
    <w:rsid w:val="006E24E7"/>
    <w:rsid w:val="006E2F3E"/>
    <w:rsid w:val="006E636D"/>
    <w:rsid w:val="006E702D"/>
    <w:rsid w:val="006E71A1"/>
    <w:rsid w:val="006E750E"/>
    <w:rsid w:val="006E7FFA"/>
    <w:rsid w:val="006F04DE"/>
    <w:rsid w:val="006F332E"/>
    <w:rsid w:val="006F4617"/>
    <w:rsid w:val="006F7A7B"/>
    <w:rsid w:val="007034EF"/>
    <w:rsid w:val="007053B9"/>
    <w:rsid w:val="00705D53"/>
    <w:rsid w:val="00710735"/>
    <w:rsid w:val="00712FAC"/>
    <w:rsid w:val="00713C48"/>
    <w:rsid w:val="00714890"/>
    <w:rsid w:val="00715DF0"/>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1779"/>
    <w:rsid w:val="007322EA"/>
    <w:rsid w:val="00736EF3"/>
    <w:rsid w:val="007374FA"/>
    <w:rsid w:val="00737807"/>
    <w:rsid w:val="00740976"/>
    <w:rsid w:val="00742FE8"/>
    <w:rsid w:val="007439C3"/>
    <w:rsid w:val="00743C78"/>
    <w:rsid w:val="0074659C"/>
    <w:rsid w:val="00747066"/>
    <w:rsid w:val="00750033"/>
    <w:rsid w:val="00752C28"/>
    <w:rsid w:val="0075425B"/>
    <w:rsid w:val="00755047"/>
    <w:rsid w:val="007553B0"/>
    <w:rsid w:val="00755A12"/>
    <w:rsid w:val="00755DEC"/>
    <w:rsid w:val="007563CF"/>
    <w:rsid w:val="0075678B"/>
    <w:rsid w:val="0076359E"/>
    <w:rsid w:val="0076418E"/>
    <w:rsid w:val="00764AB6"/>
    <w:rsid w:val="0076653E"/>
    <w:rsid w:val="007672CA"/>
    <w:rsid w:val="00767A93"/>
    <w:rsid w:val="00767BF0"/>
    <w:rsid w:val="00772629"/>
    <w:rsid w:val="007732D9"/>
    <w:rsid w:val="00776042"/>
    <w:rsid w:val="0077611D"/>
    <w:rsid w:val="0078009D"/>
    <w:rsid w:val="007804EF"/>
    <w:rsid w:val="007816D4"/>
    <w:rsid w:val="00783E25"/>
    <w:rsid w:val="0078460B"/>
    <w:rsid w:val="00785077"/>
    <w:rsid w:val="0078524B"/>
    <w:rsid w:val="007872AE"/>
    <w:rsid w:val="00790DCE"/>
    <w:rsid w:val="00791AD7"/>
    <w:rsid w:val="00791FE0"/>
    <w:rsid w:val="0079266F"/>
    <w:rsid w:val="00792FCB"/>
    <w:rsid w:val="00795A58"/>
    <w:rsid w:val="007A073A"/>
    <w:rsid w:val="007A0936"/>
    <w:rsid w:val="007A1967"/>
    <w:rsid w:val="007A1DD9"/>
    <w:rsid w:val="007A4020"/>
    <w:rsid w:val="007A5289"/>
    <w:rsid w:val="007A7762"/>
    <w:rsid w:val="007B171D"/>
    <w:rsid w:val="007B240D"/>
    <w:rsid w:val="007B2560"/>
    <w:rsid w:val="007B3F47"/>
    <w:rsid w:val="007B4147"/>
    <w:rsid w:val="007B4432"/>
    <w:rsid w:val="007B4951"/>
    <w:rsid w:val="007B540C"/>
    <w:rsid w:val="007B572C"/>
    <w:rsid w:val="007B5BCE"/>
    <w:rsid w:val="007C04EF"/>
    <w:rsid w:val="007C0B49"/>
    <w:rsid w:val="007C2077"/>
    <w:rsid w:val="007C3630"/>
    <w:rsid w:val="007C3885"/>
    <w:rsid w:val="007D094A"/>
    <w:rsid w:val="007D132C"/>
    <w:rsid w:val="007D1A99"/>
    <w:rsid w:val="007D41A7"/>
    <w:rsid w:val="007D4C5C"/>
    <w:rsid w:val="007D5C15"/>
    <w:rsid w:val="007D5EC8"/>
    <w:rsid w:val="007D68AA"/>
    <w:rsid w:val="007E1636"/>
    <w:rsid w:val="007E1CE6"/>
    <w:rsid w:val="007E3372"/>
    <w:rsid w:val="007E341A"/>
    <w:rsid w:val="007E3695"/>
    <w:rsid w:val="007E3892"/>
    <w:rsid w:val="007E49A7"/>
    <w:rsid w:val="007E64CE"/>
    <w:rsid w:val="007F5504"/>
    <w:rsid w:val="007F65E0"/>
    <w:rsid w:val="007F7AF8"/>
    <w:rsid w:val="00800353"/>
    <w:rsid w:val="00800BA2"/>
    <w:rsid w:val="00800EFA"/>
    <w:rsid w:val="00801317"/>
    <w:rsid w:val="00802369"/>
    <w:rsid w:val="00802B37"/>
    <w:rsid w:val="008031A2"/>
    <w:rsid w:val="00803ADB"/>
    <w:rsid w:val="00804AAF"/>
    <w:rsid w:val="00805AE5"/>
    <w:rsid w:val="00810391"/>
    <w:rsid w:val="008108C0"/>
    <w:rsid w:val="00810F09"/>
    <w:rsid w:val="0081191F"/>
    <w:rsid w:val="00813D27"/>
    <w:rsid w:val="00816795"/>
    <w:rsid w:val="008169B5"/>
    <w:rsid w:val="008174F4"/>
    <w:rsid w:val="00821C9D"/>
    <w:rsid w:val="0082277A"/>
    <w:rsid w:val="00823047"/>
    <w:rsid w:val="00823B9E"/>
    <w:rsid w:val="00824D12"/>
    <w:rsid w:val="00826C19"/>
    <w:rsid w:val="00827137"/>
    <w:rsid w:val="00827E05"/>
    <w:rsid w:val="00830A36"/>
    <w:rsid w:val="008315DA"/>
    <w:rsid w:val="00831788"/>
    <w:rsid w:val="00832703"/>
    <w:rsid w:val="00832E45"/>
    <w:rsid w:val="00832FA6"/>
    <w:rsid w:val="00834A73"/>
    <w:rsid w:val="0083624F"/>
    <w:rsid w:val="00842E4E"/>
    <w:rsid w:val="00842ED3"/>
    <w:rsid w:val="00844392"/>
    <w:rsid w:val="008447B1"/>
    <w:rsid w:val="00847844"/>
    <w:rsid w:val="00847847"/>
    <w:rsid w:val="00850B08"/>
    <w:rsid w:val="00850D81"/>
    <w:rsid w:val="0085113E"/>
    <w:rsid w:val="00852790"/>
    <w:rsid w:val="00852ED3"/>
    <w:rsid w:val="00854C2F"/>
    <w:rsid w:val="0085567D"/>
    <w:rsid w:val="00856D80"/>
    <w:rsid w:val="00857230"/>
    <w:rsid w:val="00857BE3"/>
    <w:rsid w:val="00861374"/>
    <w:rsid w:val="0086397B"/>
    <w:rsid w:val="008639D8"/>
    <w:rsid w:val="00866552"/>
    <w:rsid w:val="0086724E"/>
    <w:rsid w:val="00867EC2"/>
    <w:rsid w:val="00871EE8"/>
    <w:rsid w:val="00873598"/>
    <w:rsid w:val="00873B35"/>
    <w:rsid w:val="00873EA4"/>
    <w:rsid w:val="00874297"/>
    <w:rsid w:val="00875013"/>
    <w:rsid w:val="00875898"/>
    <w:rsid w:val="00880078"/>
    <w:rsid w:val="00880638"/>
    <w:rsid w:val="0088195F"/>
    <w:rsid w:val="008829F5"/>
    <w:rsid w:val="008831DD"/>
    <w:rsid w:val="00884B65"/>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43BE"/>
    <w:rsid w:val="008A61CE"/>
    <w:rsid w:val="008B0280"/>
    <w:rsid w:val="008B2B36"/>
    <w:rsid w:val="008B3376"/>
    <w:rsid w:val="008B3526"/>
    <w:rsid w:val="008B755F"/>
    <w:rsid w:val="008C1497"/>
    <w:rsid w:val="008C2CBB"/>
    <w:rsid w:val="008C349F"/>
    <w:rsid w:val="008C4446"/>
    <w:rsid w:val="008C5A21"/>
    <w:rsid w:val="008C6A64"/>
    <w:rsid w:val="008D1B3A"/>
    <w:rsid w:val="008D23C3"/>
    <w:rsid w:val="008D3467"/>
    <w:rsid w:val="008D5DD1"/>
    <w:rsid w:val="008E016E"/>
    <w:rsid w:val="008E19DB"/>
    <w:rsid w:val="008E2A57"/>
    <w:rsid w:val="008E2E42"/>
    <w:rsid w:val="008E4863"/>
    <w:rsid w:val="008E4F7A"/>
    <w:rsid w:val="008E64C9"/>
    <w:rsid w:val="008E7540"/>
    <w:rsid w:val="008F0450"/>
    <w:rsid w:val="008F0E1C"/>
    <w:rsid w:val="008F1710"/>
    <w:rsid w:val="008F2C33"/>
    <w:rsid w:val="008F3F3C"/>
    <w:rsid w:val="008F6FC9"/>
    <w:rsid w:val="008F798C"/>
    <w:rsid w:val="00900E88"/>
    <w:rsid w:val="0090135D"/>
    <w:rsid w:val="00901C14"/>
    <w:rsid w:val="00903B6B"/>
    <w:rsid w:val="00904F94"/>
    <w:rsid w:val="0090666A"/>
    <w:rsid w:val="00906AC1"/>
    <w:rsid w:val="009078BC"/>
    <w:rsid w:val="00910B61"/>
    <w:rsid w:val="00912958"/>
    <w:rsid w:val="00914B08"/>
    <w:rsid w:val="00914D48"/>
    <w:rsid w:val="00915850"/>
    <w:rsid w:val="0091703D"/>
    <w:rsid w:val="00921574"/>
    <w:rsid w:val="00922E18"/>
    <w:rsid w:val="009248C2"/>
    <w:rsid w:val="00925820"/>
    <w:rsid w:val="00925F64"/>
    <w:rsid w:val="00927640"/>
    <w:rsid w:val="00931822"/>
    <w:rsid w:val="00931A3C"/>
    <w:rsid w:val="00931A8F"/>
    <w:rsid w:val="009325AA"/>
    <w:rsid w:val="00932B5D"/>
    <w:rsid w:val="00932F63"/>
    <w:rsid w:val="00933AA9"/>
    <w:rsid w:val="00940979"/>
    <w:rsid w:val="00941A20"/>
    <w:rsid w:val="00942668"/>
    <w:rsid w:val="009430EA"/>
    <w:rsid w:val="00943CA2"/>
    <w:rsid w:val="00944300"/>
    <w:rsid w:val="0094500E"/>
    <w:rsid w:val="00945322"/>
    <w:rsid w:val="0094658A"/>
    <w:rsid w:val="00947DDA"/>
    <w:rsid w:val="00950C9D"/>
    <w:rsid w:val="00951CFA"/>
    <w:rsid w:val="00952BB6"/>
    <w:rsid w:val="00953957"/>
    <w:rsid w:val="00957E83"/>
    <w:rsid w:val="00960500"/>
    <w:rsid w:val="00963B49"/>
    <w:rsid w:val="0096462E"/>
    <w:rsid w:val="00964BF9"/>
    <w:rsid w:val="00964E6D"/>
    <w:rsid w:val="00967E77"/>
    <w:rsid w:val="00970C79"/>
    <w:rsid w:val="009712EB"/>
    <w:rsid w:val="0097213F"/>
    <w:rsid w:val="00973CE0"/>
    <w:rsid w:val="00977AE3"/>
    <w:rsid w:val="009801F4"/>
    <w:rsid w:val="00980C27"/>
    <w:rsid w:val="00980D33"/>
    <w:rsid w:val="00981506"/>
    <w:rsid w:val="009843DC"/>
    <w:rsid w:val="009846C3"/>
    <w:rsid w:val="00986E08"/>
    <w:rsid w:val="00986EAE"/>
    <w:rsid w:val="00987542"/>
    <w:rsid w:val="009909B4"/>
    <w:rsid w:val="00990DF0"/>
    <w:rsid w:val="00992CAE"/>
    <w:rsid w:val="00992DFF"/>
    <w:rsid w:val="009938A7"/>
    <w:rsid w:val="009946DC"/>
    <w:rsid w:val="0099597C"/>
    <w:rsid w:val="009969EB"/>
    <w:rsid w:val="009A0483"/>
    <w:rsid w:val="009A0556"/>
    <w:rsid w:val="009A080A"/>
    <w:rsid w:val="009A1B5F"/>
    <w:rsid w:val="009A2363"/>
    <w:rsid w:val="009A30D6"/>
    <w:rsid w:val="009A43D6"/>
    <w:rsid w:val="009A50FB"/>
    <w:rsid w:val="009A7041"/>
    <w:rsid w:val="009A793E"/>
    <w:rsid w:val="009B04F7"/>
    <w:rsid w:val="009B23B2"/>
    <w:rsid w:val="009B4272"/>
    <w:rsid w:val="009B7146"/>
    <w:rsid w:val="009B78F4"/>
    <w:rsid w:val="009C467C"/>
    <w:rsid w:val="009C5EAA"/>
    <w:rsid w:val="009C6212"/>
    <w:rsid w:val="009C7C87"/>
    <w:rsid w:val="009D1666"/>
    <w:rsid w:val="009D2328"/>
    <w:rsid w:val="009D2E6E"/>
    <w:rsid w:val="009D3E9C"/>
    <w:rsid w:val="009D5C6E"/>
    <w:rsid w:val="009D640F"/>
    <w:rsid w:val="009E0A0C"/>
    <w:rsid w:val="009E204B"/>
    <w:rsid w:val="009E2C93"/>
    <w:rsid w:val="009E3BF8"/>
    <w:rsid w:val="009E5F6F"/>
    <w:rsid w:val="009E61F5"/>
    <w:rsid w:val="009E71E8"/>
    <w:rsid w:val="009F2A2E"/>
    <w:rsid w:val="009F3763"/>
    <w:rsid w:val="00A01429"/>
    <w:rsid w:val="00A0464C"/>
    <w:rsid w:val="00A05264"/>
    <w:rsid w:val="00A06D86"/>
    <w:rsid w:val="00A077FE"/>
    <w:rsid w:val="00A107CD"/>
    <w:rsid w:val="00A10FF1"/>
    <w:rsid w:val="00A13649"/>
    <w:rsid w:val="00A1444D"/>
    <w:rsid w:val="00A15856"/>
    <w:rsid w:val="00A15E13"/>
    <w:rsid w:val="00A1658B"/>
    <w:rsid w:val="00A178D7"/>
    <w:rsid w:val="00A17E2E"/>
    <w:rsid w:val="00A221DE"/>
    <w:rsid w:val="00A25311"/>
    <w:rsid w:val="00A2776D"/>
    <w:rsid w:val="00A27905"/>
    <w:rsid w:val="00A34A3E"/>
    <w:rsid w:val="00A361B4"/>
    <w:rsid w:val="00A36852"/>
    <w:rsid w:val="00A408A1"/>
    <w:rsid w:val="00A419B1"/>
    <w:rsid w:val="00A41FD0"/>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30BD"/>
    <w:rsid w:val="00A53B96"/>
    <w:rsid w:val="00A578C2"/>
    <w:rsid w:val="00A61E53"/>
    <w:rsid w:val="00A6230F"/>
    <w:rsid w:val="00A64CBA"/>
    <w:rsid w:val="00A6504E"/>
    <w:rsid w:val="00A651FE"/>
    <w:rsid w:val="00A65EE7"/>
    <w:rsid w:val="00A66C43"/>
    <w:rsid w:val="00A700E2"/>
    <w:rsid w:val="00A70BF8"/>
    <w:rsid w:val="00A743C0"/>
    <w:rsid w:val="00A7547D"/>
    <w:rsid w:val="00A801AC"/>
    <w:rsid w:val="00A807BD"/>
    <w:rsid w:val="00A80953"/>
    <w:rsid w:val="00A81BE0"/>
    <w:rsid w:val="00A857D5"/>
    <w:rsid w:val="00A869F4"/>
    <w:rsid w:val="00A86EE5"/>
    <w:rsid w:val="00A901C8"/>
    <w:rsid w:val="00A905FC"/>
    <w:rsid w:val="00A91788"/>
    <w:rsid w:val="00A92139"/>
    <w:rsid w:val="00A92B3D"/>
    <w:rsid w:val="00A93122"/>
    <w:rsid w:val="00A94645"/>
    <w:rsid w:val="00A95FDA"/>
    <w:rsid w:val="00A97081"/>
    <w:rsid w:val="00A97899"/>
    <w:rsid w:val="00AA0C93"/>
    <w:rsid w:val="00AA2887"/>
    <w:rsid w:val="00AA4F0B"/>
    <w:rsid w:val="00AA6658"/>
    <w:rsid w:val="00AB18B9"/>
    <w:rsid w:val="00AB31D9"/>
    <w:rsid w:val="00AB347C"/>
    <w:rsid w:val="00AB592A"/>
    <w:rsid w:val="00AB784F"/>
    <w:rsid w:val="00AB7F48"/>
    <w:rsid w:val="00AC08B1"/>
    <w:rsid w:val="00AC0D22"/>
    <w:rsid w:val="00AC1017"/>
    <w:rsid w:val="00AC10FD"/>
    <w:rsid w:val="00AC23E3"/>
    <w:rsid w:val="00AC355B"/>
    <w:rsid w:val="00AC4668"/>
    <w:rsid w:val="00AC4773"/>
    <w:rsid w:val="00AC54DB"/>
    <w:rsid w:val="00AC6672"/>
    <w:rsid w:val="00AC6C56"/>
    <w:rsid w:val="00AC74D1"/>
    <w:rsid w:val="00AD025D"/>
    <w:rsid w:val="00AD2CC7"/>
    <w:rsid w:val="00AD384B"/>
    <w:rsid w:val="00AD4E39"/>
    <w:rsid w:val="00AD54F4"/>
    <w:rsid w:val="00AD6462"/>
    <w:rsid w:val="00AD67E1"/>
    <w:rsid w:val="00AD7247"/>
    <w:rsid w:val="00AD7691"/>
    <w:rsid w:val="00AD76DA"/>
    <w:rsid w:val="00AE1CFC"/>
    <w:rsid w:val="00AE3217"/>
    <w:rsid w:val="00AE35C9"/>
    <w:rsid w:val="00AE48AC"/>
    <w:rsid w:val="00AE4DF8"/>
    <w:rsid w:val="00AE599A"/>
    <w:rsid w:val="00AE5E29"/>
    <w:rsid w:val="00AE5F3A"/>
    <w:rsid w:val="00AE6BDD"/>
    <w:rsid w:val="00AE7348"/>
    <w:rsid w:val="00AF2AB9"/>
    <w:rsid w:val="00AF3FA9"/>
    <w:rsid w:val="00AF54DF"/>
    <w:rsid w:val="00AF6549"/>
    <w:rsid w:val="00AF7F2D"/>
    <w:rsid w:val="00B01756"/>
    <w:rsid w:val="00B0260E"/>
    <w:rsid w:val="00B0263B"/>
    <w:rsid w:val="00B02FE0"/>
    <w:rsid w:val="00B03C75"/>
    <w:rsid w:val="00B040BF"/>
    <w:rsid w:val="00B0448B"/>
    <w:rsid w:val="00B05CF0"/>
    <w:rsid w:val="00B125C6"/>
    <w:rsid w:val="00B135CA"/>
    <w:rsid w:val="00B14AE7"/>
    <w:rsid w:val="00B14BF4"/>
    <w:rsid w:val="00B157DA"/>
    <w:rsid w:val="00B15BA0"/>
    <w:rsid w:val="00B161F0"/>
    <w:rsid w:val="00B17895"/>
    <w:rsid w:val="00B21EE4"/>
    <w:rsid w:val="00B25C01"/>
    <w:rsid w:val="00B27413"/>
    <w:rsid w:val="00B3156C"/>
    <w:rsid w:val="00B331A6"/>
    <w:rsid w:val="00B34B6C"/>
    <w:rsid w:val="00B3644A"/>
    <w:rsid w:val="00B37BEA"/>
    <w:rsid w:val="00B409AC"/>
    <w:rsid w:val="00B41AED"/>
    <w:rsid w:val="00B42FDA"/>
    <w:rsid w:val="00B43BD8"/>
    <w:rsid w:val="00B46094"/>
    <w:rsid w:val="00B5186D"/>
    <w:rsid w:val="00B5444C"/>
    <w:rsid w:val="00B55C8B"/>
    <w:rsid w:val="00B61AC2"/>
    <w:rsid w:val="00B61F5F"/>
    <w:rsid w:val="00B62B4A"/>
    <w:rsid w:val="00B6348B"/>
    <w:rsid w:val="00B63935"/>
    <w:rsid w:val="00B65BBB"/>
    <w:rsid w:val="00B65BDC"/>
    <w:rsid w:val="00B66928"/>
    <w:rsid w:val="00B6697E"/>
    <w:rsid w:val="00B678E2"/>
    <w:rsid w:val="00B70065"/>
    <w:rsid w:val="00B70948"/>
    <w:rsid w:val="00B70ED5"/>
    <w:rsid w:val="00B71787"/>
    <w:rsid w:val="00B72656"/>
    <w:rsid w:val="00B728A4"/>
    <w:rsid w:val="00B72954"/>
    <w:rsid w:val="00B72D2C"/>
    <w:rsid w:val="00B74146"/>
    <w:rsid w:val="00B749C8"/>
    <w:rsid w:val="00B76E17"/>
    <w:rsid w:val="00B77BD2"/>
    <w:rsid w:val="00B77E53"/>
    <w:rsid w:val="00B80190"/>
    <w:rsid w:val="00B809A8"/>
    <w:rsid w:val="00B8234A"/>
    <w:rsid w:val="00B826A9"/>
    <w:rsid w:val="00B82830"/>
    <w:rsid w:val="00B82A0A"/>
    <w:rsid w:val="00B82D0E"/>
    <w:rsid w:val="00B8609B"/>
    <w:rsid w:val="00B86F27"/>
    <w:rsid w:val="00B95AB8"/>
    <w:rsid w:val="00B969C2"/>
    <w:rsid w:val="00B96B82"/>
    <w:rsid w:val="00B97B20"/>
    <w:rsid w:val="00BA2ACC"/>
    <w:rsid w:val="00BA7E04"/>
    <w:rsid w:val="00BA7ECA"/>
    <w:rsid w:val="00BB2729"/>
    <w:rsid w:val="00BB30CC"/>
    <w:rsid w:val="00BB4E3B"/>
    <w:rsid w:val="00BB6233"/>
    <w:rsid w:val="00BB72D6"/>
    <w:rsid w:val="00BB7518"/>
    <w:rsid w:val="00BB7E30"/>
    <w:rsid w:val="00BC1463"/>
    <w:rsid w:val="00BC39FF"/>
    <w:rsid w:val="00BC4B00"/>
    <w:rsid w:val="00BC5D95"/>
    <w:rsid w:val="00BC7837"/>
    <w:rsid w:val="00BC7C7D"/>
    <w:rsid w:val="00BD016E"/>
    <w:rsid w:val="00BD38EA"/>
    <w:rsid w:val="00BD7312"/>
    <w:rsid w:val="00BE1C0C"/>
    <w:rsid w:val="00BE2882"/>
    <w:rsid w:val="00BE29D2"/>
    <w:rsid w:val="00BE5713"/>
    <w:rsid w:val="00BE6791"/>
    <w:rsid w:val="00BE7727"/>
    <w:rsid w:val="00BF26B1"/>
    <w:rsid w:val="00BF3791"/>
    <w:rsid w:val="00BF3D29"/>
    <w:rsid w:val="00BF4BD1"/>
    <w:rsid w:val="00BF52F8"/>
    <w:rsid w:val="00BF545B"/>
    <w:rsid w:val="00BF5EB1"/>
    <w:rsid w:val="00BF6229"/>
    <w:rsid w:val="00C03A82"/>
    <w:rsid w:val="00C0679A"/>
    <w:rsid w:val="00C06A96"/>
    <w:rsid w:val="00C07026"/>
    <w:rsid w:val="00C075C4"/>
    <w:rsid w:val="00C11031"/>
    <w:rsid w:val="00C11AA2"/>
    <w:rsid w:val="00C1369F"/>
    <w:rsid w:val="00C13F21"/>
    <w:rsid w:val="00C13FF5"/>
    <w:rsid w:val="00C1475C"/>
    <w:rsid w:val="00C21C52"/>
    <w:rsid w:val="00C21EA4"/>
    <w:rsid w:val="00C238A5"/>
    <w:rsid w:val="00C2469C"/>
    <w:rsid w:val="00C2655C"/>
    <w:rsid w:val="00C30EFA"/>
    <w:rsid w:val="00C32223"/>
    <w:rsid w:val="00C33FBD"/>
    <w:rsid w:val="00C3441E"/>
    <w:rsid w:val="00C34467"/>
    <w:rsid w:val="00C34D81"/>
    <w:rsid w:val="00C34FFB"/>
    <w:rsid w:val="00C365F4"/>
    <w:rsid w:val="00C40CD5"/>
    <w:rsid w:val="00C40FCA"/>
    <w:rsid w:val="00C41332"/>
    <w:rsid w:val="00C42A39"/>
    <w:rsid w:val="00C4345C"/>
    <w:rsid w:val="00C446D9"/>
    <w:rsid w:val="00C44C34"/>
    <w:rsid w:val="00C46626"/>
    <w:rsid w:val="00C50997"/>
    <w:rsid w:val="00C51385"/>
    <w:rsid w:val="00C521C5"/>
    <w:rsid w:val="00C53BCD"/>
    <w:rsid w:val="00C53F13"/>
    <w:rsid w:val="00C56F87"/>
    <w:rsid w:val="00C60799"/>
    <w:rsid w:val="00C634CE"/>
    <w:rsid w:val="00C67CAE"/>
    <w:rsid w:val="00C7115E"/>
    <w:rsid w:val="00C72438"/>
    <w:rsid w:val="00C72FAC"/>
    <w:rsid w:val="00C75352"/>
    <w:rsid w:val="00C77496"/>
    <w:rsid w:val="00C80ACF"/>
    <w:rsid w:val="00C80CF7"/>
    <w:rsid w:val="00C81034"/>
    <w:rsid w:val="00C813E5"/>
    <w:rsid w:val="00C82755"/>
    <w:rsid w:val="00C831CB"/>
    <w:rsid w:val="00C86DE9"/>
    <w:rsid w:val="00C90E87"/>
    <w:rsid w:val="00C919F1"/>
    <w:rsid w:val="00C92393"/>
    <w:rsid w:val="00C92436"/>
    <w:rsid w:val="00C94CF8"/>
    <w:rsid w:val="00C95C62"/>
    <w:rsid w:val="00CA0101"/>
    <w:rsid w:val="00CA1974"/>
    <w:rsid w:val="00CA1CD4"/>
    <w:rsid w:val="00CA1DE9"/>
    <w:rsid w:val="00CA20B1"/>
    <w:rsid w:val="00CA76E4"/>
    <w:rsid w:val="00CA7FDC"/>
    <w:rsid w:val="00CB20F5"/>
    <w:rsid w:val="00CB31E0"/>
    <w:rsid w:val="00CB353E"/>
    <w:rsid w:val="00CB4868"/>
    <w:rsid w:val="00CB5E90"/>
    <w:rsid w:val="00CB6066"/>
    <w:rsid w:val="00CB64B0"/>
    <w:rsid w:val="00CC1BAD"/>
    <w:rsid w:val="00CC224F"/>
    <w:rsid w:val="00CC27EE"/>
    <w:rsid w:val="00CC2C47"/>
    <w:rsid w:val="00CC2FB1"/>
    <w:rsid w:val="00CC339D"/>
    <w:rsid w:val="00CC33B4"/>
    <w:rsid w:val="00CC41E4"/>
    <w:rsid w:val="00CC4A44"/>
    <w:rsid w:val="00CC4DBC"/>
    <w:rsid w:val="00CC5006"/>
    <w:rsid w:val="00CC57DA"/>
    <w:rsid w:val="00CC700E"/>
    <w:rsid w:val="00CD0001"/>
    <w:rsid w:val="00CD0B2F"/>
    <w:rsid w:val="00CD34AC"/>
    <w:rsid w:val="00CD44DA"/>
    <w:rsid w:val="00CD4AE1"/>
    <w:rsid w:val="00CD7B3B"/>
    <w:rsid w:val="00CE18D7"/>
    <w:rsid w:val="00CE2426"/>
    <w:rsid w:val="00CE4BF9"/>
    <w:rsid w:val="00CE50F9"/>
    <w:rsid w:val="00CE5166"/>
    <w:rsid w:val="00CE64EA"/>
    <w:rsid w:val="00CE6E8A"/>
    <w:rsid w:val="00CE6EB3"/>
    <w:rsid w:val="00CF01A8"/>
    <w:rsid w:val="00CF0F36"/>
    <w:rsid w:val="00CF4BEE"/>
    <w:rsid w:val="00CF6F76"/>
    <w:rsid w:val="00CF7C81"/>
    <w:rsid w:val="00D01327"/>
    <w:rsid w:val="00D02169"/>
    <w:rsid w:val="00D024B8"/>
    <w:rsid w:val="00D024E0"/>
    <w:rsid w:val="00D025BD"/>
    <w:rsid w:val="00D0272C"/>
    <w:rsid w:val="00D02881"/>
    <w:rsid w:val="00D05A4B"/>
    <w:rsid w:val="00D060BB"/>
    <w:rsid w:val="00D064F1"/>
    <w:rsid w:val="00D06957"/>
    <w:rsid w:val="00D06997"/>
    <w:rsid w:val="00D0793E"/>
    <w:rsid w:val="00D102D3"/>
    <w:rsid w:val="00D1196A"/>
    <w:rsid w:val="00D1196E"/>
    <w:rsid w:val="00D12B66"/>
    <w:rsid w:val="00D1372E"/>
    <w:rsid w:val="00D16F87"/>
    <w:rsid w:val="00D21857"/>
    <w:rsid w:val="00D23565"/>
    <w:rsid w:val="00D23D83"/>
    <w:rsid w:val="00D26598"/>
    <w:rsid w:val="00D27890"/>
    <w:rsid w:val="00D27F9F"/>
    <w:rsid w:val="00D30344"/>
    <w:rsid w:val="00D3043C"/>
    <w:rsid w:val="00D30B9C"/>
    <w:rsid w:val="00D311C6"/>
    <w:rsid w:val="00D32D49"/>
    <w:rsid w:val="00D33471"/>
    <w:rsid w:val="00D3359A"/>
    <w:rsid w:val="00D343D6"/>
    <w:rsid w:val="00D34FA9"/>
    <w:rsid w:val="00D368B9"/>
    <w:rsid w:val="00D41191"/>
    <w:rsid w:val="00D412BD"/>
    <w:rsid w:val="00D43C0D"/>
    <w:rsid w:val="00D44E49"/>
    <w:rsid w:val="00D45F2B"/>
    <w:rsid w:val="00D46F2B"/>
    <w:rsid w:val="00D477D9"/>
    <w:rsid w:val="00D52396"/>
    <w:rsid w:val="00D52688"/>
    <w:rsid w:val="00D53117"/>
    <w:rsid w:val="00D53149"/>
    <w:rsid w:val="00D57123"/>
    <w:rsid w:val="00D618E9"/>
    <w:rsid w:val="00D632DA"/>
    <w:rsid w:val="00D63373"/>
    <w:rsid w:val="00D659AE"/>
    <w:rsid w:val="00D660B5"/>
    <w:rsid w:val="00D66945"/>
    <w:rsid w:val="00D671F2"/>
    <w:rsid w:val="00D718B3"/>
    <w:rsid w:val="00D71E2D"/>
    <w:rsid w:val="00D747D5"/>
    <w:rsid w:val="00D76978"/>
    <w:rsid w:val="00D81237"/>
    <w:rsid w:val="00D83BDB"/>
    <w:rsid w:val="00D9108C"/>
    <w:rsid w:val="00D9195C"/>
    <w:rsid w:val="00D957BA"/>
    <w:rsid w:val="00D967A3"/>
    <w:rsid w:val="00DA26BF"/>
    <w:rsid w:val="00DA2C59"/>
    <w:rsid w:val="00DA3BC3"/>
    <w:rsid w:val="00DA49E0"/>
    <w:rsid w:val="00DA5739"/>
    <w:rsid w:val="00DB4050"/>
    <w:rsid w:val="00DC0841"/>
    <w:rsid w:val="00DC2934"/>
    <w:rsid w:val="00DC327D"/>
    <w:rsid w:val="00DC3C6C"/>
    <w:rsid w:val="00DC5A00"/>
    <w:rsid w:val="00DC5AD4"/>
    <w:rsid w:val="00DC6F41"/>
    <w:rsid w:val="00DD2B17"/>
    <w:rsid w:val="00DD7B06"/>
    <w:rsid w:val="00DE1273"/>
    <w:rsid w:val="00DE1B7E"/>
    <w:rsid w:val="00DE2B09"/>
    <w:rsid w:val="00DE2C0B"/>
    <w:rsid w:val="00DE2EEF"/>
    <w:rsid w:val="00DE335C"/>
    <w:rsid w:val="00DE3413"/>
    <w:rsid w:val="00DE4368"/>
    <w:rsid w:val="00DE63E0"/>
    <w:rsid w:val="00DE74F1"/>
    <w:rsid w:val="00DE7C04"/>
    <w:rsid w:val="00DF371D"/>
    <w:rsid w:val="00DF55E9"/>
    <w:rsid w:val="00DF5EC7"/>
    <w:rsid w:val="00DF6620"/>
    <w:rsid w:val="00DF66FC"/>
    <w:rsid w:val="00DF6D08"/>
    <w:rsid w:val="00DF6DD1"/>
    <w:rsid w:val="00DF74EB"/>
    <w:rsid w:val="00E003C8"/>
    <w:rsid w:val="00E005D9"/>
    <w:rsid w:val="00E0128E"/>
    <w:rsid w:val="00E01825"/>
    <w:rsid w:val="00E02664"/>
    <w:rsid w:val="00E043F6"/>
    <w:rsid w:val="00E11589"/>
    <w:rsid w:val="00E129AC"/>
    <w:rsid w:val="00E14145"/>
    <w:rsid w:val="00E14295"/>
    <w:rsid w:val="00E148D4"/>
    <w:rsid w:val="00E14E11"/>
    <w:rsid w:val="00E162A6"/>
    <w:rsid w:val="00E16D7E"/>
    <w:rsid w:val="00E174D9"/>
    <w:rsid w:val="00E227F7"/>
    <w:rsid w:val="00E2370B"/>
    <w:rsid w:val="00E261BC"/>
    <w:rsid w:val="00E31574"/>
    <w:rsid w:val="00E32449"/>
    <w:rsid w:val="00E32D33"/>
    <w:rsid w:val="00E34442"/>
    <w:rsid w:val="00E345E0"/>
    <w:rsid w:val="00E35198"/>
    <w:rsid w:val="00E365A2"/>
    <w:rsid w:val="00E36B21"/>
    <w:rsid w:val="00E37208"/>
    <w:rsid w:val="00E375A6"/>
    <w:rsid w:val="00E378F1"/>
    <w:rsid w:val="00E400EF"/>
    <w:rsid w:val="00E40A8E"/>
    <w:rsid w:val="00E40B10"/>
    <w:rsid w:val="00E41327"/>
    <w:rsid w:val="00E43F41"/>
    <w:rsid w:val="00E440FB"/>
    <w:rsid w:val="00E46C37"/>
    <w:rsid w:val="00E51080"/>
    <w:rsid w:val="00E530D4"/>
    <w:rsid w:val="00E56D5A"/>
    <w:rsid w:val="00E57244"/>
    <w:rsid w:val="00E61BE5"/>
    <w:rsid w:val="00E63809"/>
    <w:rsid w:val="00E63F80"/>
    <w:rsid w:val="00E669DF"/>
    <w:rsid w:val="00E7022E"/>
    <w:rsid w:val="00E70369"/>
    <w:rsid w:val="00E72360"/>
    <w:rsid w:val="00E723CB"/>
    <w:rsid w:val="00E728D7"/>
    <w:rsid w:val="00E74F64"/>
    <w:rsid w:val="00E750C0"/>
    <w:rsid w:val="00E761E3"/>
    <w:rsid w:val="00E7690C"/>
    <w:rsid w:val="00E77599"/>
    <w:rsid w:val="00E77780"/>
    <w:rsid w:val="00E77813"/>
    <w:rsid w:val="00E8015B"/>
    <w:rsid w:val="00E818A5"/>
    <w:rsid w:val="00E8443A"/>
    <w:rsid w:val="00E8609A"/>
    <w:rsid w:val="00E86957"/>
    <w:rsid w:val="00E90C0F"/>
    <w:rsid w:val="00E91642"/>
    <w:rsid w:val="00E950B5"/>
    <w:rsid w:val="00E95487"/>
    <w:rsid w:val="00E97184"/>
    <w:rsid w:val="00E974F5"/>
    <w:rsid w:val="00EA2E28"/>
    <w:rsid w:val="00EA42C7"/>
    <w:rsid w:val="00EA61D8"/>
    <w:rsid w:val="00EA6561"/>
    <w:rsid w:val="00EB0B0A"/>
    <w:rsid w:val="00EB2024"/>
    <w:rsid w:val="00EB39E9"/>
    <w:rsid w:val="00EB3C44"/>
    <w:rsid w:val="00EB4411"/>
    <w:rsid w:val="00EB4562"/>
    <w:rsid w:val="00EC008F"/>
    <w:rsid w:val="00ED0FB4"/>
    <w:rsid w:val="00ED10D4"/>
    <w:rsid w:val="00ED1A57"/>
    <w:rsid w:val="00ED229E"/>
    <w:rsid w:val="00ED2B6E"/>
    <w:rsid w:val="00ED2EFD"/>
    <w:rsid w:val="00ED34A7"/>
    <w:rsid w:val="00ED75DA"/>
    <w:rsid w:val="00EE1312"/>
    <w:rsid w:val="00EE21F1"/>
    <w:rsid w:val="00EE47A0"/>
    <w:rsid w:val="00EE4D38"/>
    <w:rsid w:val="00EE59DF"/>
    <w:rsid w:val="00EF0D69"/>
    <w:rsid w:val="00EF0F6F"/>
    <w:rsid w:val="00EF22CE"/>
    <w:rsid w:val="00EF2547"/>
    <w:rsid w:val="00EF25F0"/>
    <w:rsid w:val="00EF3A48"/>
    <w:rsid w:val="00EF3E4C"/>
    <w:rsid w:val="00EF54A4"/>
    <w:rsid w:val="00EF7281"/>
    <w:rsid w:val="00EF79F4"/>
    <w:rsid w:val="00F0070D"/>
    <w:rsid w:val="00F00E41"/>
    <w:rsid w:val="00F00F93"/>
    <w:rsid w:val="00F0335A"/>
    <w:rsid w:val="00F03DB7"/>
    <w:rsid w:val="00F04F55"/>
    <w:rsid w:val="00F05C9B"/>
    <w:rsid w:val="00F07395"/>
    <w:rsid w:val="00F07DE6"/>
    <w:rsid w:val="00F101B7"/>
    <w:rsid w:val="00F1275B"/>
    <w:rsid w:val="00F12C44"/>
    <w:rsid w:val="00F12CE2"/>
    <w:rsid w:val="00F1303A"/>
    <w:rsid w:val="00F16647"/>
    <w:rsid w:val="00F1793D"/>
    <w:rsid w:val="00F21ECE"/>
    <w:rsid w:val="00F223C4"/>
    <w:rsid w:val="00F22451"/>
    <w:rsid w:val="00F238E0"/>
    <w:rsid w:val="00F23A17"/>
    <w:rsid w:val="00F26055"/>
    <w:rsid w:val="00F27034"/>
    <w:rsid w:val="00F270C9"/>
    <w:rsid w:val="00F318DF"/>
    <w:rsid w:val="00F324B6"/>
    <w:rsid w:val="00F33303"/>
    <w:rsid w:val="00F33980"/>
    <w:rsid w:val="00F33B8E"/>
    <w:rsid w:val="00F347B4"/>
    <w:rsid w:val="00F351D9"/>
    <w:rsid w:val="00F353C4"/>
    <w:rsid w:val="00F36422"/>
    <w:rsid w:val="00F371B5"/>
    <w:rsid w:val="00F37391"/>
    <w:rsid w:val="00F376D6"/>
    <w:rsid w:val="00F40D35"/>
    <w:rsid w:val="00F418AD"/>
    <w:rsid w:val="00F43058"/>
    <w:rsid w:val="00F46F00"/>
    <w:rsid w:val="00F4721F"/>
    <w:rsid w:val="00F4768C"/>
    <w:rsid w:val="00F47B73"/>
    <w:rsid w:val="00F47C5B"/>
    <w:rsid w:val="00F50252"/>
    <w:rsid w:val="00F51AE6"/>
    <w:rsid w:val="00F51D08"/>
    <w:rsid w:val="00F523A6"/>
    <w:rsid w:val="00F52FFF"/>
    <w:rsid w:val="00F5366F"/>
    <w:rsid w:val="00F53A8E"/>
    <w:rsid w:val="00F54BA7"/>
    <w:rsid w:val="00F55FD0"/>
    <w:rsid w:val="00F56750"/>
    <w:rsid w:val="00F608D1"/>
    <w:rsid w:val="00F61982"/>
    <w:rsid w:val="00F62D25"/>
    <w:rsid w:val="00F63319"/>
    <w:rsid w:val="00F64200"/>
    <w:rsid w:val="00F7114A"/>
    <w:rsid w:val="00F71863"/>
    <w:rsid w:val="00F718BC"/>
    <w:rsid w:val="00F727FF"/>
    <w:rsid w:val="00F74521"/>
    <w:rsid w:val="00F74C90"/>
    <w:rsid w:val="00F7536E"/>
    <w:rsid w:val="00F763CA"/>
    <w:rsid w:val="00F76935"/>
    <w:rsid w:val="00F77C6B"/>
    <w:rsid w:val="00F82066"/>
    <w:rsid w:val="00F842DE"/>
    <w:rsid w:val="00F8685C"/>
    <w:rsid w:val="00F94ABC"/>
    <w:rsid w:val="00F954A5"/>
    <w:rsid w:val="00F9725A"/>
    <w:rsid w:val="00F97A4B"/>
    <w:rsid w:val="00FA088A"/>
    <w:rsid w:val="00FA116B"/>
    <w:rsid w:val="00FA28B4"/>
    <w:rsid w:val="00FA29AC"/>
    <w:rsid w:val="00FA5D17"/>
    <w:rsid w:val="00FA5DAC"/>
    <w:rsid w:val="00FB0454"/>
    <w:rsid w:val="00FB0E05"/>
    <w:rsid w:val="00FB2AA4"/>
    <w:rsid w:val="00FB2C03"/>
    <w:rsid w:val="00FB30EA"/>
    <w:rsid w:val="00FB3B7B"/>
    <w:rsid w:val="00FB45CA"/>
    <w:rsid w:val="00FB472E"/>
    <w:rsid w:val="00FB4846"/>
    <w:rsid w:val="00FB4C31"/>
    <w:rsid w:val="00FB4E43"/>
    <w:rsid w:val="00FB54A4"/>
    <w:rsid w:val="00FB5641"/>
    <w:rsid w:val="00FB61EE"/>
    <w:rsid w:val="00FB6206"/>
    <w:rsid w:val="00FB7F23"/>
    <w:rsid w:val="00FC217F"/>
    <w:rsid w:val="00FC2F47"/>
    <w:rsid w:val="00FC34B8"/>
    <w:rsid w:val="00FC3777"/>
    <w:rsid w:val="00FC5375"/>
    <w:rsid w:val="00FC57B1"/>
    <w:rsid w:val="00FC6907"/>
    <w:rsid w:val="00FD5249"/>
    <w:rsid w:val="00FD70FF"/>
    <w:rsid w:val="00FD7D10"/>
    <w:rsid w:val="00FE2241"/>
    <w:rsid w:val="00FE3B5E"/>
    <w:rsid w:val="00FE5493"/>
    <w:rsid w:val="00FE5770"/>
    <w:rsid w:val="00FE5A21"/>
    <w:rsid w:val="00FE78D8"/>
    <w:rsid w:val="00FF036A"/>
    <w:rsid w:val="00FF073C"/>
    <w:rsid w:val="00FF0D27"/>
    <w:rsid w:val="00FF364B"/>
    <w:rsid w:val="00FF4145"/>
    <w:rsid w:val="00FF4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DDA"/>
    <w:rPr>
      <w:rFonts w:asciiTheme="minorHAnsi" w:eastAsiaTheme="minorHAnsi" w:hAnsiTheme="minorHAnsi" w:cstheme="minorBidi"/>
      <w:sz w:val="24"/>
      <w:szCs w:val="24"/>
    </w:rPr>
  </w:style>
  <w:style w:type="paragraph" w:styleId="Heading1">
    <w:name w:val="heading 1"/>
    <w:basedOn w:val="Normal"/>
    <w:next w:val="Normal"/>
    <w:link w:val="Heading1Char"/>
    <w:uiPriority w:val="9"/>
    <w:qFormat/>
    <w:rsid w:val="00B331A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paragraph" w:customStyle="1" w:styleId="APA">
    <w:name w:val="APA"/>
    <w:basedOn w:val="BodyText"/>
    <w:pPr>
      <w:spacing w:after="0" w:line="480" w:lineRule="auto"/>
      <w:ind w:firstLine="720"/>
    </w:pPr>
    <w:rPr>
      <w:sz w:val="24"/>
    </w:rPr>
  </w:style>
  <w:style w:type="paragraph" w:styleId="BodyText">
    <w:name w:val="Body Text"/>
    <w:basedOn w:val="Normal"/>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paragraph" w:styleId="Footer">
    <w:name w:val="footer"/>
    <w:basedOn w:val="Normal"/>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pPr>
    <w:rPr>
      <w:b/>
    </w:rPr>
  </w:style>
  <w:style w:type="paragraph" w:customStyle="1" w:styleId="APAHeading2">
    <w:name w:val="APA Heading 2"/>
    <w:basedOn w:val="APAHeading1"/>
    <w:next w:val="APA"/>
    <w:rsid w:val="004B26B0"/>
    <w:pPr>
      <w:jc w:val="left"/>
    </w:pPr>
  </w:style>
  <w:style w:type="paragraph" w:customStyle="1" w:styleId="APAHeading3">
    <w:name w:val="APA Heading 3"/>
    <w:basedOn w:val="APAHeading1"/>
    <w:next w:val="APA"/>
    <w:rsid w:val="004B26B0"/>
    <w:pPr>
      <w:ind w:firstLine="720"/>
      <w:jc w:val="left"/>
    </w:pPr>
  </w:style>
  <w:style w:type="paragraph" w:customStyle="1" w:styleId="APAHeading4">
    <w:name w:val="APA Heading 4"/>
    <w:basedOn w:val="APAHeading1"/>
    <w:next w:val="APA"/>
    <w:rsid w:val="000428F1"/>
    <w:pPr>
      <w:ind w:firstLine="720"/>
      <w:jc w:val="left"/>
    </w:pPr>
    <w:rPr>
      <w:i/>
    </w:rPr>
  </w:style>
  <w:style w:type="paragraph" w:customStyle="1" w:styleId="APAHeading5">
    <w:name w:val="APA Heading 5"/>
    <w:basedOn w:val="APAHeading1"/>
    <w:next w:val="APA"/>
    <w:rsid w:val="00C53F13"/>
    <w:pPr>
      <w:ind w:firstLine="720"/>
      <w:jc w:val="left"/>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overflowPunct w:val="0"/>
      <w:autoSpaceDE w:val="0"/>
      <w:autoSpaceDN w:val="0"/>
      <w:adjustRightInd w:val="0"/>
      <w:spacing w:line="480" w:lineRule="auto"/>
      <w:textAlignment w:val="baseline"/>
    </w:pPr>
    <w:rPr>
      <w:rFonts w:ascii="Times New Roman" w:eastAsia="Times New Roman" w:hAnsi="Times New Roman" w:cs="Times New Roman"/>
      <w:szCs w:val="20"/>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pPr>
    <w:rPr>
      <w:b/>
      <w:szCs w:val="24"/>
    </w:rPr>
  </w:style>
  <w:style w:type="paragraph" w:customStyle="1" w:styleId="MLASectionHeading2">
    <w:name w:val="MLA Section Heading 2"/>
    <w:basedOn w:val="MLA"/>
    <w:next w:val="MLA"/>
    <w:rsid w:val="00211BF1"/>
    <w:pPr>
      <w:ind w:firstLine="0"/>
    </w:pPr>
    <w:rPr>
      <w:i/>
      <w:szCs w:val="24"/>
    </w:rPr>
  </w:style>
  <w:style w:type="paragraph" w:customStyle="1" w:styleId="MLASectionHeading3">
    <w:name w:val="MLA Section Heading 3"/>
    <w:basedOn w:val="MLA"/>
    <w:next w:val="MLA"/>
    <w:rsid w:val="00211BF1"/>
    <w:pPr>
      <w:ind w:firstLine="0"/>
      <w:jc w:val="center"/>
    </w:pPr>
    <w:rPr>
      <w:b/>
      <w:szCs w:val="24"/>
    </w:rPr>
  </w:style>
  <w:style w:type="paragraph" w:customStyle="1" w:styleId="MLASectionHeading4">
    <w:name w:val="MLA Section Heading 4"/>
    <w:basedOn w:val="MLA"/>
    <w:next w:val="MLA"/>
    <w:rsid w:val="00211BF1"/>
    <w:pPr>
      <w:ind w:firstLine="0"/>
      <w:jc w:val="center"/>
    </w:pPr>
    <w:rPr>
      <w:i/>
      <w:szCs w:val="24"/>
    </w:rPr>
  </w:style>
  <w:style w:type="paragraph" w:customStyle="1" w:styleId="MLASectionHeading5">
    <w:name w:val="MLA Section Heading 5"/>
    <w:basedOn w:val="MLA"/>
    <w:next w:val="MLA"/>
    <w:rsid w:val="00211BF1"/>
    <w:pPr>
      <w:ind w:firstLine="0"/>
    </w:pPr>
    <w:rPr>
      <w:szCs w:val="24"/>
      <w:u w:val="single"/>
    </w:rPr>
  </w:style>
  <w:style w:type="paragraph" w:customStyle="1" w:styleId="MLATitleInfo">
    <w:name w:val="MLA Title Info"/>
    <w:basedOn w:val="MLA"/>
    <w:next w:val="MLA"/>
    <w:rsid w:val="00035FF6"/>
    <w:pPr>
      <w:ind w:firstLine="0"/>
    </w:pPr>
  </w:style>
  <w:style w:type="paragraph" w:styleId="NormalWeb">
    <w:name w:val="Normal (Web)"/>
    <w:basedOn w:val="Normal"/>
    <w:uiPriority w:val="99"/>
    <w:rsid w:val="00947DDA"/>
    <w:pPr>
      <w:spacing w:beforeLines="1" w:afterLines="1"/>
    </w:pPr>
    <w:rPr>
      <w:rFonts w:ascii="Times" w:hAnsi="Times" w:cs="Times New Roman"/>
      <w:sz w:val="20"/>
      <w:szCs w:val="20"/>
    </w:rPr>
  </w:style>
  <w:style w:type="paragraph" w:styleId="BalloonText">
    <w:name w:val="Balloon Text"/>
    <w:basedOn w:val="Normal"/>
    <w:link w:val="BalloonTextChar"/>
    <w:rsid w:val="00324E1E"/>
    <w:rPr>
      <w:rFonts w:ascii="Tahoma" w:hAnsi="Tahoma" w:cs="Tahoma"/>
      <w:sz w:val="16"/>
      <w:szCs w:val="16"/>
    </w:rPr>
  </w:style>
  <w:style w:type="character" w:customStyle="1" w:styleId="BalloonTextChar">
    <w:name w:val="Balloon Text Char"/>
    <w:basedOn w:val="DefaultParagraphFont"/>
    <w:link w:val="BalloonText"/>
    <w:rsid w:val="00324E1E"/>
    <w:rPr>
      <w:rFonts w:ascii="Tahoma" w:eastAsiaTheme="minorHAnsi" w:hAnsi="Tahoma" w:cs="Tahoma"/>
      <w:sz w:val="16"/>
      <w:szCs w:val="16"/>
    </w:rPr>
  </w:style>
  <w:style w:type="character" w:customStyle="1" w:styleId="Heading1Char">
    <w:name w:val="Heading 1 Char"/>
    <w:basedOn w:val="DefaultParagraphFont"/>
    <w:link w:val="Heading1"/>
    <w:uiPriority w:val="9"/>
    <w:rsid w:val="00B331A6"/>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B331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DDA"/>
    <w:rPr>
      <w:rFonts w:asciiTheme="minorHAnsi" w:eastAsiaTheme="minorHAnsi" w:hAnsiTheme="minorHAnsi" w:cstheme="minorBidi"/>
      <w:sz w:val="24"/>
      <w:szCs w:val="24"/>
    </w:rPr>
  </w:style>
  <w:style w:type="paragraph" w:styleId="Heading1">
    <w:name w:val="heading 1"/>
    <w:basedOn w:val="Normal"/>
    <w:next w:val="Normal"/>
    <w:link w:val="Heading1Char"/>
    <w:uiPriority w:val="9"/>
    <w:qFormat/>
    <w:rsid w:val="00B331A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paragraph" w:customStyle="1" w:styleId="APA">
    <w:name w:val="APA"/>
    <w:basedOn w:val="BodyText"/>
    <w:pPr>
      <w:spacing w:after="0" w:line="480" w:lineRule="auto"/>
      <w:ind w:firstLine="720"/>
    </w:pPr>
    <w:rPr>
      <w:sz w:val="24"/>
    </w:rPr>
  </w:style>
  <w:style w:type="paragraph" w:styleId="BodyText">
    <w:name w:val="Body Text"/>
    <w:basedOn w:val="Normal"/>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paragraph" w:styleId="Footer">
    <w:name w:val="footer"/>
    <w:basedOn w:val="Normal"/>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pPr>
    <w:rPr>
      <w:b/>
    </w:rPr>
  </w:style>
  <w:style w:type="paragraph" w:customStyle="1" w:styleId="APAHeading2">
    <w:name w:val="APA Heading 2"/>
    <w:basedOn w:val="APAHeading1"/>
    <w:next w:val="APA"/>
    <w:rsid w:val="004B26B0"/>
    <w:pPr>
      <w:jc w:val="left"/>
    </w:pPr>
  </w:style>
  <w:style w:type="paragraph" w:customStyle="1" w:styleId="APAHeading3">
    <w:name w:val="APA Heading 3"/>
    <w:basedOn w:val="APAHeading1"/>
    <w:next w:val="APA"/>
    <w:rsid w:val="004B26B0"/>
    <w:pPr>
      <w:ind w:firstLine="720"/>
      <w:jc w:val="left"/>
    </w:pPr>
  </w:style>
  <w:style w:type="paragraph" w:customStyle="1" w:styleId="APAHeading4">
    <w:name w:val="APA Heading 4"/>
    <w:basedOn w:val="APAHeading1"/>
    <w:next w:val="APA"/>
    <w:rsid w:val="000428F1"/>
    <w:pPr>
      <w:ind w:firstLine="720"/>
      <w:jc w:val="left"/>
    </w:pPr>
    <w:rPr>
      <w:i/>
    </w:rPr>
  </w:style>
  <w:style w:type="paragraph" w:customStyle="1" w:styleId="APAHeading5">
    <w:name w:val="APA Heading 5"/>
    <w:basedOn w:val="APAHeading1"/>
    <w:next w:val="APA"/>
    <w:rsid w:val="00C53F13"/>
    <w:pPr>
      <w:ind w:firstLine="720"/>
      <w:jc w:val="left"/>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overflowPunct w:val="0"/>
      <w:autoSpaceDE w:val="0"/>
      <w:autoSpaceDN w:val="0"/>
      <w:adjustRightInd w:val="0"/>
      <w:spacing w:line="480" w:lineRule="auto"/>
      <w:textAlignment w:val="baseline"/>
    </w:pPr>
    <w:rPr>
      <w:rFonts w:ascii="Times New Roman" w:eastAsia="Times New Roman" w:hAnsi="Times New Roman" w:cs="Times New Roman"/>
      <w:szCs w:val="20"/>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pPr>
    <w:rPr>
      <w:b/>
      <w:szCs w:val="24"/>
    </w:rPr>
  </w:style>
  <w:style w:type="paragraph" w:customStyle="1" w:styleId="MLASectionHeading2">
    <w:name w:val="MLA Section Heading 2"/>
    <w:basedOn w:val="MLA"/>
    <w:next w:val="MLA"/>
    <w:rsid w:val="00211BF1"/>
    <w:pPr>
      <w:ind w:firstLine="0"/>
    </w:pPr>
    <w:rPr>
      <w:i/>
      <w:szCs w:val="24"/>
    </w:rPr>
  </w:style>
  <w:style w:type="paragraph" w:customStyle="1" w:styleId="MLASectionHeading3">
    <w:name w:val="MLA Section Heading 3"/>
    <w:basedOn w:val="MLA"/>
    <w:next w:val="MLA"/>
    <w:rsid w:val="00211BF1"/>
    <w:pPr>
      <w:ind w:firstLine="0"/>
      <w:jc w:val="center"/>
    </w:pPr>
    <w:rPr>
      <w:b/>
      <w:szCs w:val="24"/>
    </w:rPr>
  </w:style>
  <w:style w:type="paragraph" w:customStyle="1" w:styleId="MLASectionHeading4">
    <w:name w:val="MLA Section Heading 4"/>
    <w:basedOn w:val="MLA"/>
    <w:next w:val="MLA"/>
    <w:rsid w:val="00211BF1"/>
    <w:pPr>
      <w:ind w:firstLine="0"/>
      <w:jc w:val="center"/>
    </w:pPr>
    <w:rPr>
      <w:i/>
      <w:szCs w:val="24"/>
    </w:rPr>
  </w:style>
  <w:style w:type="paragraph" w:customStyle="1" w:styleId="MLASectionHeading5">
    <w:name w:val="MLA Section Heading 5"/>
    <w:basedOn w:val="MLA"/>
    <w:next w:val="MLA"/>
    <w:rsid w:val="00211BF1"/>
    <w:pPr>
      <w:ind w:firstLine="0"/>
    </w:pPr>
    <w:rPr>
      <w:szCs w:val="24"/>
      <w:u w:val="single"/>
    </w:rPr>
  </w:style>
  <w:style w:type="paragraph" w:customStyle="1" w:styleId="MLATitleInfo">
    <w:name w:val="MLA Title Info"/>
    <w:basedOn w:val="MLA"/>
    <w:next w:val="MLA"/>
    <w:rsid w:val="00035FF6"/>
    <w:pPr>
      <w:ind w:firstLine="0"/>
    </w:pPr>
  </w:style>
  <w:style w:type="paragraph" w:styleId="NormalWeb">
    <w:name w:val="Normal (Web)"/>
    <w:basedOn w:val="Normal"/>
    <w:uiPriority w:val="99"/>
    <w:rsid w:val="00947DDA"/>
    <w:pPr>
      <w:spacing w:beforeLines="1" w:afterLines="1"/>
    </w:pPr>
    <w:rPr>
      <w:rFonts w:ascii="Times" w:hAnsi="Times" w:cs="Times New Roman"/>
      <w:sz w:val="20"/>
      <w:szCs w:val="20"/>
    </w:rPr>
  </w:style>
  <w:style w:type="paragraph" w:styleId="BalloonText">
    <w:name w:val="Balloon Text"/>
    <w:basedOn w:val="Normal"/>
    <w:link w:val="BalloonTextChar"/>
    <w:rsid w:val="00324E1E"/>
    <w:rPr>
      <w:rFonts w:ascii="Tahoma" w:hAnsi="Tahoma" w:cs="Tahoma"/>
      <w:sz w:val="16"/>
      <w:szCs w:val="16"/>
    </w:rPr>
  </w:style>
  <w:style w:type="character" w:customStyle="1" w:styleId="BalloonTextChar">
    <w:name w:val="Balloon Text Char"/>
    <w:basedOn w:val="DefaultParagraphFont"/>
    <w:link w:val="BalloonText"/>
    <w:rsid w:val="00324E1E"/>
    <w:rPr>
      <w:rFonts w:ascii="Tahoma" w:eastAsiaTheme="minorHAnsi" w:hAnsi="Tahoma" w:cs="Tahoma"/>
      <w:sz w:val="16"/>
      <w:szCs w:val="16"/>
    </w:rPr>
  </w:style>
  <w:style w:type="character" w:customStyle="1" w:styleId="Heading1Char">
    <w:name w:val="Heading 1 Char"/>
    <w:basedOn w:val="DefaultParagraphFont"/>
    <w:link w:val="Heading1"/>
    <w:uiPriority w:val="9"/>
    <w:rsid w:val="00B331A6"/>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B33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Wil08</b:Tag>
    <b:SourceType>JournalArticle</b:SourceType>
    <b:Guid>{9A48E5B5-1651-4CC4-B48F-2AFD4E06EE65}</b:Guid>
    <b:Title>The necessity to assess anticoagulation status in elderly injured patients </b:Title>
    <b:Year>2008</b:Year>
    <b:JournalName>Journal of Trauma Injury, Infection, and Critical Care </b:JournalName>
    <b:Pages>772-777</b:Pages>
    <b:Volume>65</b:Volume>
    <b:Issue>4</b:Issue>
    <b:Author>
      <b:Author>
        <b:NameList>
          <b:Person>
            <b:Last>William</b:Last>
            <b:First>T</b:First>
          </b:Person>
          <b:Person>
            <b:Last>Sadjadi</b:Last>
            <b:First>J</b:First>
          </b:Person>
          <b:Person>
            <b:Last>Harken</b:Last>
            <b:First>A</b:First>
          </b:Person>
          <b:Person>
            <b:Last>Victorino</b:Last>
            <b:First>G</b:First>
          </b:Person>
        </b:NameList>
      </b:Author>
    </b:Author>
    <b:RefOrder>2</b:RefOrder>
  </b:Source>
  <b:Source>
    <b:Tag>Rui13</b:Tag>
    <b:SourceType>JournalArticle</b:SourceType>
    <b:Guid>{5D29514C-D200-42F9-8A48-6A60B95E5F22}</b:Guid>
    <b:Title>Treatment of acute coagulopathy associated with trauma</b:Title>
    <b:JournalName>Critical Care</b:JournalName>
    <b:Year>2013</b:Year>
    <b:Pages>201-208</b:Pages>
    <b:Volume>20</b:Volume>
    <b:Issue>2</b:Issue>
    <b:Author>
      <b:Author>
        <b:NameList>
          <b:Person>
            <b:Last>Ruiz</b:Last>
            <b:First>C</b:First>
          </b:Person>
          <b:Person>
            <b:Last>Andresen</b:Last>
            <b:First>M</b:First>
          </b:Person>
        </b:NameList>
      </b:Author>
    </b:Author>
    <b:RefOrder>3</b:RefOrder>
  </b:Source>
  <b:Source>
    <b:Tag>Dua13</b:Tag>
    <b:SourceType>JournalArticle</b:SourceType>
    <b:Guid>{B5DED7B8-9DC4-472A-9F1F-9CFD36A23F2D}</b:Guid>
    <b:Title>The pathophysiology and management of acute traumatic coagulopathy</b:Title>
    <b:JournalName>Clinical and Applied Thrombosis /Hemostasis</b:JournalName>
    <b:Year>2013</b:Year>
    <b:Pages>1-8</b:Pages>
    <b:Volume>20</b:Volume>
    <b:Issue>10</b:Issue>
    <b:Author>
      <b:Author>
        <b:NameList>
          <b:Person>
            <b:Last>Duan</b:Last>
            <b:First>K</b:First>
          </b:Person>
          <b:Person>
            <b:Last>Yu</b:Last>
            <b:First>W</b:First>
          </b:Person>
          <b:Person>
            <b:Last>Li</b:Last>
            <b:First>N</b:First>
          </b:Person>
        </b:NameList>
      </b:Author>
    </b:Author>
    <b:RefOrder>4</b:RefOrder>
  </b:Source>
  <b:Source>
    <b:Tag>Nap13</b:Tag>
    <b:SourceType>JournalArticle</b:SourceType>
    <b:Guid>{674354B7-E983-407C-8D1F-2851E72FC2CD}</b:Guid>
    <b:Title>Tranexamic acid in trauma: How should we use it?</b:Title>
    <b:JournalName>Journal of Trauma and Acute Care Surgery</b:JournalName>
    <b:Year>2013</b:Year>
    <b:Pages>1575-1586</b:Pages>
    <b:Volume>74</b:Volume>
    <b:Issue>6</b:Issue>
    <b:Author>
      <b:Author>
        <b:NameList>
          <b:Person>
            <b:Last>Napolitano</b:Last>
            <b:First>L</b:First>
          </b:Person>
          <b:Person>
            <b:Last>Cohen</b:Last>
            <b:First>M</b:First>
          </b:Person>
          <b:Person>
            <b:Last>Schreiber</b:Last>
            <b:First>M</b:First>
          </b:Person>
          <b:Person>
            <b:Last>Moore</b:Last>
            <b:First>E</b:First>
          </b:Person>
          <b:Person>
            <b:Last>Cotton</b:Last>
            <b:First>B</b:First>
          </b:Person>
        </b:NameList>
      </b:Author>
    </b:Author>
    <b:RefOrder>1</b:RefOrder>
  </b:Source>
  <b:Source>
    <b:Tag>Spa131</b:Tag>
    <b:SourceType>JournalArticle</b:SourceType>
    <b:Guid>{20672DB1-A43F-4D79-ADCD-F46FF089825F}</b:Guid>
    <b:Title>Management of bleeding and coagulopathy following major trauma: and updated European Guideline</b:Title>
    <b:JournalName>Critical Care</b:JournalName>
    <b:Year>2013</b:Year>
    <b:Pages>1-45</b:Pages>
    <b:Volume>17</b:Volume>
    <b:Issue>76</b:Issue>
    <b:Author>
      <b:Author>
        <b:NameList>
          <b:Person>
            <b:Last>Spahn</b:Last>
            <b:First>D</b:First>
          </b:Person>
          <b:Person>
            <b:Last>Bouillon</b:Last>
            <b:First>B</b:First>
          </b:Person>
          <b:Person>
            <b:Last>Coats</b:Last>
            <b:First>T</b:First>
          </b:Person>
          <b:Person>
            <b:Last>Duranteau</b:Last>
            <b:First>J</b:First>
          </b:Person>
          <b:Person>
            <b:Last>Mondejar</b:Last>
            <b:First>E</b:First>
          </b:Person>
          <b:Person>
            <b:Last>Filipescu</b:Last>
            <b:First>D</b:First>
          </b:Person>
          <b:Person>
            <b:Last>Hunt</b:Last>
            <b:First>B</b:First>
          </b:Person>
          <b:Person>
            <b:Last>Komadina</b:Last>
            <b:First>R</b:First>
          </b:Person>
          <b:Person>
            <b:Last>Nardi</b:Last>
            <b:First>G</b:First>
          </b:Person>
          <b:Person>
            <b:Last>Neugebauer</b:Last>
            <b:First>E</b:First>
          </b:Person>
          <b:Person>
            <b:Last>Ozier</b:Last>
            <b:First>Y</b:First>
          </b:Person>
          <b:Person>
            <b:Last>Riddez</b:Last>
            <b:First>L</b:First>
          </b:Person>
          <b:Person>
            <b:Last>Schultz</b:Last>
            <b:First>A</b:First>
          </b:Person>
          <b:Person>
            <b:Last>Vincent</b:Last>
            <b:First>J</b:First>
          </b:Person>
          <b:Person>
            <b:Last>Rossaint</b:Last>
            <b:First>R</b:First>
          </b:Person>
        </b:NameList>
      </b:Author>
    </b:Author>
    <b:RefOrder>5</b:RefOrder>
  </b:Source>
  <b:Source>
    <b:Tag>Hes08</b:Tag>
    <b:SourceType>JournalArticle</b:SourceType>
    <b:Guid>{AC5E44C8-EF4E-465B-806F-673E56EF6B75}</b:Guid>
    <b:Title>The coagulopathy of trauma: A review of mechanisms</b:Title>
    <b:JournalName>The Journal of Trauma Injury, Infection, and Critical Care</b:JournalName>
    <b:Year>2008</b:Year>
    <b:Pages>748-754</b:Pages>
    <b:Volume>65</b:Volume>
    <b:Issue>1</b:Issue>
    <b:Author>
      <b:Author>
        <b:NameList>
          <b:Person>
            <b:Last>Hess</b:Last>
            <b:First>J</b:First>
          </b:Person>
          <b:Person>
            <b:Last>Brohi</b:Last>
            <b:First>K</b:First>
          </b:Person>
          <b:Person>
            <b:Last>Dutton</b:Last>
            <b:First>R</b:First>
          </b:Person>
          <b:Person>
            <b:Last>Hauser</b:Last>
            <b:First>C</b:First>
          </b:Person>
          <b:Person>
            <b:Last>Holcomb</b:Last>
            <b:First>J</b:First>
          </b:Person>
          <b:Person>
            <b:Last>Kluger</b:Last>
            <b:First>Y</b:First>
          </b:Person>
          <b:Person>
            <b:Last>Jones</b:Last>
            <b:First>K</b:First>
          </b:Person>
          <b:Person>
            <b:Last>Parr</b:Last>
            <b:First>M</b:First>
          </b:Person>
          <b:Person>
            <b:Last>Rizoli</b:Last>
            <b:First>S</b:First>
          </b:Person>
          <b:Person>
            <b:Last>Yukioka</b:Last>
            <b:First>T</b:First>
          </b:Person>
          <b:Person>
            <b:Last>Hoyt</b:Last>
            <b:First>D</b:First>
          </b:Person>
          <b:Person>
            <b:Last>Boullion</b:Last>
            <b:First>B</b:First>
          </b:Person>
        </b:NameList>
      </b:Author>
    </b:Author>
    <b:RefOrder>6</b:RefOrder>
  </b:Source>
  <b:Source>
    <b:Tag>Mor12</b:Tag>
    <b:SourceType>JournalArticle</b:SourceType>
    <b:Guid>{EEB47D45-55D3-4184-9034-33CA982E74CB}</b:Guid>
    <b:Title>Military application of tranexamic acid in trauma emergency resuscitation (MATTERs) study</b:Title>
    <b:JournalName>Archives of Surgery</b:JournalName>
    <b:Year>2012</b:Year>
    <b:Pages>113-119</b:Pages>
    <b:Volume>147</b:Volume>
    <b:Issue>2</b:Issue>
    <b:Author>
      <b:Author>
        <b:NameList>
          <b:Person>
            <b:Last>Morrison</b:Last>
            <b:First>J</b:First>
          </b:Person>
          <b:Person>
            <b:Last>Dubose</b:Last>
            <b:First>J</b:First>
          </b:Person>
          <b:Person>
            <b:Last>Rasmussen</b:Last>
            <b:First>T</b:First>
          </b:Person>
          <b:Person>
            <b:Last>Midwinter</b:Last>
            <b:First>M</b:First>
          </b:Person>
        </b:NameList>
      </b:Author>
    </b:Author>
    <b:RefOrder>7</b:RefOrder>
  </b:Source>
  <b:Source>
    <b:Tag>Sha10</b:Tag>
    <b:SourceType>JournalArticle</b:SourceType>
    <b:Guid>{0A9BABE0-57FA-4E06-94F7-E6B7A68FD8EE}</b:Guid>
    <b:Title>Effects of tranexamic acid on death, vascular occulsive events, and blood transfusion in trauma patients with significant hemorrhage (CRASH-2); a randomized placebo-controlled trial</b:Title>
    <b:JournalName>Lancet</b:JournalName>
    <b:Year>2010</b:Year>
    <b:Pages>23-32</b:Pages>
    <b:Volume>376</b:Volume>
    <b:Issue>9734</b:Issue>
    <b:Author>
      <b:Author>
        <b:NameList>
          <b:Person>
            <b:Last>Shakur</b:Last>
            <b:First>H</b:First>
          </b:Person>
          <b:Person>
            <b:Last>Roberts</b:Last>
            <b:First>I</b:First>
          </b:Person>
          <b:Person>
            <b:Last>Bautista</b:Last>
            <b:First>R</b:First>
          </b:Person>
          <b:Person>
            <b:Last>Caballero</b:Last>
            <b:First>J</b:First>
          </b:Person>
          <b:Person>
            <b:Last>Coats</b:Last>
            <b:First>T\</b:First>
          </b:Person>
          <b:Person>
            <b:Last>Dewan</b:Last>
            <b:First>Y</b:First>
          </b:Person>
          <b:Person>
            <b:Last>El-Sayed</b:Last>
            <b:First>H</b:First>
          </b:Person>
          <b:Person>
            <b:Last>Gogochaishvli</b:Last>
            <b:First>T</b:First>
          </b:Person>
          <b:Person>
            <b:Last>Gupta</b:Last>
            <b:First>S</b:First>
          </b:Person>
          <b:Person>
            <b:Last>Herrera</b:Last>
            <b:First>J</b:First>
          </b:Person>
          <b:Person>
            <b:Last>Hunt</b:Last>
            <b:First>B</b:First>
          </b:Person>
          <b:Person>
            <b:Last>Irbhogbe</b:Last>
            <b:First>P</b:First>
          </b:Person>
          <b:Person>
            <b:Last>Izurieta</b:Last>
            <b:First>M</b:First>
          </b:Person>
          <b:Person>
            <b:Last>Khamis</b:Last>
            <b:First>H</b:First>
          </b:Person>
          <b:Person>
            <b:Last>Komolafe</b:Last>
            <b:First>E</b:First>
          </b:Person>
          <b:Person>
            <b:Last>Marrero</b:Last>
            <b:First>M</b:First>
          </b:Person>
          <b:Person>
            <b:Last>Mejfa-Mantilla</b:Last>
            <b:First>J</b:First>
          </b:Person>
          <b:Person>
            <b:Last>Miranda</b:Last>
            <b:First>J</b:First>
          </b:Person>
          <b:Person>
            <b:Last>Morales</b:Last>
            <b:First>C</b:First>
          </b:Person>
          <b:Person>
            <b:Last>Olaomi</b:Last>
            <b:First>O</b:First>
          </b:Person>
          <b:Person>
            <b:Last>Oldashi</b:Last>
            <b:First>F</b:First>
          </b:Person>
          <b:Person>
            <b:Last>Perel</b:Last>
            <b:First>P</b:First>
          </b:Person>
          <b:Person>
            <b:Last>Peto</b:Last>
            <b:First>R</b:First>
          </b:Person>
          <b:Person>
            <b:Last>Ramana</b:Last>
            <b:First>P</b:First>
          </b:Person>
          <b:Person>
            <b:Last>Ravi</b:Last>
            <b:First>R</b:First>
          </b:Person>
          <b:Person>
            <b:Last>Yutthakasemsunt</b:Last>
            <b:First>S</b:First>
          </b:Person>
        </b:NameList>
      </b:Author>
    </b:Author>
    <b:RefOrder>8</b:RefOrder>
  </b:Source>
  <b:Source>
    <b:Tag>Gru11</b:Tag>
    <b:SourceType>InternetSite</b:SourceType>
    <b:Guid>{BBAC46DD-7A8C-44BB-91D1-2013D54C2ADF}</b:Guid>
    <b:Year>2011</b:Year>
    <b:InternetSiteTitle>Tranexamic acid for trauma</b:InternetSiteTitle>
    <b:URL>http://www.thelancet.com/crash-2</b:URL>
    <b:Author>
      <b:Author>
        <b:NameList>
          <b:Person>
            <b:Last>Gruen</b:Last>
            <b:First>R</b:First>
          </b:Person>
          <b:Person>
            <b:Last>Mitra</b:Last>
            <b:First>B</b:First>
          </b:Person>
        </b:NameList>
      </b:Author>
    </b:Author>
    <b:RefOrder>9</b:RefOrder>
  </b:Source>
  <b:Source>
    <b:Tag>Swe13</b:Tag>
    <b:SourceType>JournalArticle</b:SourceType>
    <b:Guid>{513728EB-5122-4277-9292-11B921C5DEEB}</b:Guid>
    <b:Title>Tranexamic acid use in trauma: effective but not without consquences </b:Title>
    <b:Year>2013</b:Year>
    <b:JournalName>Journal of Trauma and Treatment </b:JournalName>
    <b:Pages>1-5</b:Pages>
    <b:Volume>2</b:Volume>
    <b:Issue>4</b:Issue>
    <b:Author>
      <b:Author>
        <b:NameList>
          <b:Person>
            <b:Last>Swendsen</b:Last>
            <b:First>H</b:First>
          </b:Person>
          <b:Person>
            <b:Last>Galante </b:Last>
            <b:First>J</b:First>
          </b:Person>
          <b:Person>
            <b:Last>Utter</b:Last>
            <b:First>G</b:First>
          </b:Person>
          <b:Person>
            <b:Last>Bateni</b:Last>
            <b:First>S</b:First>
          </b:Person>
          <b:Person>
            <b:Last>Scherer</b:Last>
            <b:First>L</b:First>
          </b:Person>
          <b:Person>
            <b:Last>Schermer</b:Last>
            <b:First>C</b:First>
          </b:Person>
        </b:NameList>
      </b:Author>
    </b:Author>
    <b:RefOrder>10</b:RefOrder>
  </b:Source>
  <b:Source>
    <b:Tag>Bro03</b:Tag>
    <b:SourceType>JournalArticle</b:SourceType>
    <b:Guid>{4F810BCA-A8DE-486F-826A-BB4B5D5D0E58}</b:Guid>
    <b:Title>Acute traumatic coagulopathy</b:Title>
    <b:JournalName>The Journal of Trauma Injury, infection, and Critical Care</b:JournalName>
    <b:Year>2003</b:Year>
    <b:Pages>1127-1130</b:Pages>
    <b:Volume>54</b:Volume>
    <b:Issue>1</b:Issue>
    <b:Author>
      <b:Author>
        <b:NameList>
          <b:Person>
            <b:Last>Brohi</b:Last>
            <b:First>K</b:First>
          </b:Person>
          <b:Person>
            <b:Last>Singh</b:Last>
            <b:First>J</b:First>
          </b:Person>
          <b:Person>
            <b:Last>Heron</b:Last>
            <b:First>M</b:First>
          </b:Person>
          <b:Person>
            <b:Last>Coats</b:Last>
            <b:First>T</b:First>
          </b:Person>
        </b:NameList>
      </b:Author>
    </b:Author>
    <b:RefOrder>11</b:RefOrder>
  </b:Source>
</b:Sources>
</file>

<file path=customXml/itemProps1.xml><?xml version="1.0" encoding="utf-8"?>
<ds:datastoreItem xmlns:ds="http://schemas.openxmlformats.org/officeDocument/2006/customXml" ds:itemID="{14391AA6-04B1-4489-9CB1-7331922D1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PERRLA</Template>
  <TotalTime>0</TotalTime>
  <Pages>13</Pages>
  <Words>3295</Words>
  <Characters>21161</Characters>
  <Application>Microsoft Office Word</Application>
  <DocSecurity>0</DocSecurity>
  <Lines>4232</Lines>
  <Paragraphs>1063</Paragraphs>
  <ScaleCrop>false</ScaleCrop>
  <HeadingPairs>
    <vt:vector size="2" baseType="variant">
      <vt:variant>
        <vt:lpstr>Title</vt:lpstr>
      </vt:variant>
      <vt:variant>
        <vt:i4>1</vt:i4>
      </vt:variant>
    </vt:vector>
  </HeadingPairs>
  <TitlesOfParts>
    <vt:vector size="1" baseType="lpstr">
      <vt:lpstr>Evidence Based Practice Paper</vt:lpstr>
    </vt:vector>
  </TitlesOfParts>
  <Company>Microsoft</Company>
  <LinksUpToDate>false</LinksUpToDate>
  <CharactersWithSpaces>23393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Based Practice Paper</dc:title>
  <dc:subject>Copyright</dc:subject>
  <dc:creator>Andrea N. Quick</dc:creator>
  <cp:lastModifiedBy>Quick</cp:lastModifiedBy>
  <cp:revision>2</cp:revision>
  <cp:lastPrinted>2014-04-11T15:38:00Z</cp:lastPrinted>
  <dcterms:created xsi:type="dcterms:W3CDTF">2014-04-12T02:01:00Z</dcterms:created>
  <dcterms:modified xsi:type="dcterms:W3CDTF">2014-04-12T02:01:00Z</dcterms:modified>
</cp:coreProperties>
</file>